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caps w:val="0"/>
          <w:color w:val="333333"/>
          <w:spacing w:val="0"/>
          <w:sz w:val="21"/>
          <w:szCs w:val="21"/>
        </w:rPr>
      </w:pPr>
      <w:bookmarkStart w:id="0" w:name="_GoBack"/>
      <w:r>
        <w:rPr>
          <w:rFonts w:ascii="方正小标宋简体" w:hAnsi="方正小标宋简体" w:eastAsia="方正小标宋简体" w:cs="方正小标宋简体"/>
          <w:i w:val="0"/>
          <w:caps w:val="0"/>
          <w:color w:val="333333"/>
          <w:spacing w:val="0"/>
          <w:kern w:val="0"/>
          <w:sz w:val="36"/>
          <w:szCs w:val="36"/>
          <w:bdr w:val="none" w:color="auto" w:sz="0" w:space="0"/>
          <w:shd w:val="clear" w:fill="FFFFFF"/>
          <w:lang w:val="en-US" w:eastAsia="zh-CN" w:bidi="ar"/>
        </w:rPr>
        <w:t>张家港市“才有所居”实施细则</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333333"/>
          <w:spacing w:val="0"/>
          <w:sz w:val="21"/>
          <w:szCs w:val="21"/>
        </w:rPr>
      </w:pPr>
      <w:r>
        <w:rPr>
          <w:rFonts w:ascii="黑体" w:hAnsi="宋体" w:eastAsia="黑体" w:cs="黑体"/>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第一条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为落实好《张家港市</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才有所居</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实施意见》（张政办〔</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2017</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63</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号），现制订本实施细则。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第二条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才有所居</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，是指参加本市科技创新积分管理并达到规定积分标准的企业，可以推荐本企业中符合条件的优秀人才（以下简称</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）享受购买指定商品房（以下简称</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）的政策补贴。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第三条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本市各有关部门按照各自职能，切实做好</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才有所居</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政策落实工作。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市人力资源和社会保障局（以下简称</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人社局</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）负责申购人所在企业申请资格审核，申购人学历学位、职称、技能等级、缴纳社保等情况审核以及申购人</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年在职情况监管工作。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市地税局及保税区地税局负责申购人上一个自然年度个人所得税完税情况审核工作。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市国土资源局（市不动产登记局）及下属国土所负责申购人及其配偶名下房产情况审核以及</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产权登记工作。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市房产管理中心负责申购人及其配偶名下已签订商品房买卖合同但未办理产权登记的住房情况审核以及</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产权交易监管工作。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市财政局负责</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政府补贴资金核拨工作。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市人才工作领导小组办公室（以下简称</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人才办</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）、市科学技术局（以下简称</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科技局</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）等结合部门职能协同做好相关工作。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第四条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指定商品房位于</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金厦</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阳光锦程</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小区。开发商为张家港市金厦房地产开发公司，承诺政府团购价为每平方米较市场价优惠</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300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第五条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每套</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政府补贴面积为</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100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平方米，</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总建筑面积为</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100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平方米及以下的，政府按实际建筑面积给予</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3000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元</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平方米的购房补贴；超过</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100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平方米的，超出部分不再补贴。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第六条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企业申请资格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参加科技创新积分管理的企业，每积满</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50</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分可推荐</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名符合条件的人才申请购买</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套</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。当年度积分必须用于当年度申请。企业第一年度科技创新积分未能达到申请购买</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条件的，其积分可累积到下一年度，积分累积使用周期为三年，三年期满后积分清零，重新累积。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指标根据房源提供情况和企业积分情况依次安排。具体由市企业科技创新积分管理领导小组统一协调。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第七条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人才申请条件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申购人应当同时具备下列条件：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．本人及其配偶在本市无住房（含农房及已签订商品房买卖合同但未办理产权登记的住房），或现有住房建筑面积不足</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100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平方米；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．在参加本市科技创新积分管理的企业中全职担任中高级管理、研发、技术职务；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．上年度在申请单位取得的工资薪金所得在</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12</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万元及以上；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4</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．具有本科及以上学历，或具有中级及以上职称，或具有技师及以上职业资格。上年度在申请单位取得的工资薪金所得在</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20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万元及以上的适用性人才，经审核认定后，学历、职称、职业资格等可适当放宽要求；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．提出购房申请时距离法定退休年龄不少于</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6</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．逐月在本市缴纳社会保险或个人所得税满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每位人才在本市只能享受一次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优惠政策，所购</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必须为自住房。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第八条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工作流程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申请每年集中受理，申报事宜每年具体通知。用人单位将以下申报材料原件及复印件（独立装印成册，一式</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份）交各区镇科技人才部门初审后，由各区镇科技人才部门统一报人社局：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）《张家港市</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申请表》（可登陆张家港市人社局网站（</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http://www.12333zjg.gov.cn</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下载中心</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）申购人学历学位（留学归国人员须提供学历认证材料）、职称、技能等级证明；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4</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）申购人与用人单位签订的劳动合同（合同期限应自购房之日起</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年以上）；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）申购人上一个自然年度个人所得税完税证明；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6</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）申购人关于本人及配偶名下房产情况的声明；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）申购人近一年逐月缴纳社会保险证明（如有）。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社局会同人才办、财政局、科技局、国土资源局（市不动产登记局）、房产管理中心、地税局、保税区地税局等部门进行审核。经审核符合条件的，在本市主要新闻媒体上公示。公示无异议或异议不成立的，报市政府常务会议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．市政府常务会议审定后，人社局为经认定符合条件的申购人发放</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认定通知书</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。申购人在规定时间内（原则上当年度）凭</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认定通知书</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在指定的住宅区内自行选择</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4</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．申购人选定</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后与人社局、房产公司、申请企业共同签订</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补贴协议，明确各自权利与义务。申购人按照协议缴纳购房款个人承担部分。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．人社局根据补贴协议将</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补贴款分两笔拨付房产公司，第一笔拨付</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15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万元，用于申购人支付房款的首付；余下部分在房屋具备交房使用条件后拨付。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第九条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购买</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产生的各类税费全额由申购人本人承担。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第十条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申购人享受</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才有所居</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政策购买商品房时，房产公司应在《商品房买卖合同》中注明房屋性质为</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。房屋交付使用后，产权登记部门应在《不动产产权登记证》上标注</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标记。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第十一条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补贴协议中约定：申购人自签订</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补贴协议之日起</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年内不得离职或转让</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年之内因申购人自身原因离职，或者转让</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的，该申购人应全额返还</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补贴款。申购人拒不返还</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补贴款的，申请企业应当督促申购人及时全额返还，并与申购人共同承担连带责任。在全额返还</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补贴款前，申请企业不得再享受</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才有所居</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第十二条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申购人所在企业因经营等原因而导致破产清算、解散、依法吊销营业执照或者搬离我市等情形的，如申购人继续在我市其他企业工作，则该申购人继续享受</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才有所居</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政策；若申购人离开我市，则按照不足的服务年限返还</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补贴款（返还金额的计算方式为：返还金额</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购房补贴总额</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服务年限差）。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第十三条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已享受过购房补贴政策的领军型创新创业人才，不再享受</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才有所居</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政策；尚未在本市购买住房，但已享受过本市政府给予的安家补贴、生活资助等的人才，如选择享受</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才有所居</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政策，须向原发放单位退还已发放的补贴、资助，或直接从</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补贴款中扣除。正在享受共有产权经济适用房或公租房等住房保障政策的领军型创新创业人才，在享受</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才有所居</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政策前，应当退出现有住房保障。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第十四条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申请企业负责每年向人社局提供人才的在职证明（劳动合同、计缴个人所得税的薪酬发放证明）供人社局审核享受</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人才房</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人员的在职情况。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第十五条</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本实施细则由人社局负责解释，自印发之日起施行，《张家港市</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才有所居</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实施细则》（张人社发〔</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2016</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32"/>
          <w:szCs w:val="32"/>
          <w:bdr w:val="none" w:color="auto" w:sz="0" w:space="0"/>
          <w:shd w:val="clear" w:fill="FFFFFF"/>
          <w:lang w:val="en-US" w:eastAsia="zh-CN" w:bidi="ar"/>
        </w:rPr>
        <w:t>44</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3521F"/>
    <w:rsid w:val="26BA11FC"/>
    <w:rsid w:val="6C23521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2018-05-28T04:47:00Z</dcterms:created>
  <dc:creator>Administrator</dc:creator>
  <cp:lastModifiedBy>Administrator</cp:lastModifiedBy>
  <dcterms:modified xsi:type="dcterms:W3CDTF">2018-05-28T04:53:39Z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