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16" w:rsidRPr="00181416" w:rsidRDefault="00181416" w:rsidP="00181416">
      <w:pPr>
        <w:widowControl/>
        <w:wordWrap w:val="0"/>
        <w:spacing w:line="600" w:lineRule="exact"/>
        <w:jc w:val="center"/>
        <w:rPr>
          <w:rFonts w:ascii="宋体" w:eastAsia="宋体" w:hAnsi="宋体" w:cs="宋体"/>
          <w:color w:val="000000"/>
          <w:kern w:val="0"/>
          <w:sz w:val="24"/>
          <w:szCs w:val="24"/>
        </w:rPr>
      </w:pPr>
      <w:r w:rsidRPr="00181416">
        <w:rPr>
          <w:rFonts w:ascii="方正小标宋简体" w:eastAsia="方正小标宋简体" w:hAnsi="宋体" w:cs="宋体" w:hint="eastAsia"/>
          <w:color w:val="000000"/>
          <w:kern w:val="0"/>
          <w:sz w:val="44"/>
          <w:szCs w:val="44"/>
        </w:rPr>
        <w:t>鸠江区促进现代服务业发展的暂行办法</w:t>
      </w:r>
    </w:p>
    <w:p w:rsidR="00181416" w:rsidRPr="00181416" w:rsidRDefault="00181416" w:rsidP="00181416">
      <w:pPr>
        <w:widowControl/>
        <w:wordWrap w:val="0"/>
        <w:spacing w:line="600" w:lineRule="exact"/>
        <w:jc w:val="center"/>
        <w:rPr>
          <w:rFonts w:ascii="宋体" w:eastAsia="宋体" w:hAnsi="宋体" w:cs="宋体"/>
          <w:color w:val="000000"/>
          <w:kern w:val="0"/>
          <w:sz w:val="24"/>
          <w:szCs w:val="24"/>
        </w:rPr>
      </w:pPr>
      <w:r w:rsidRPr="00181416">
        <w:rPr>
          <w:rFonts w:ascii="Calibri" w:eastAsia="楷体_GB2312" w:hAnsi="Calibri" w:cs="Calibri" w:hint="eastAsia"/>
          <w:color w:val="000000"/>
          <w:spacing w:val="-4"/>
          <w:kern w:val="0"/>
          <w:sz w:val="32"/>
          <w:szCs w:val="32"/>
        </w:rPr>
        <w:t> </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宋体" w:cs="宋体" w:hint="eastAsia"/>
          <w:color w:val="000000"/>
          <w:kern w:val="0"/>
          <w:sz w:val="32"/>
          <w:szCs w:val="32"/>
        </w:rPr>
        <w:t>为进一步加快传统产业转型升级，商贸服务业做大做强，高水平建设现代服务业集聚区，重点发展现代物流、电子商务、文化旅游等产业，促进现代服务业迈向中高端，制定以下暂行办法。</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黑体" w:eastAsia="黑体" w:hAnsi="黑体" w:cs="黑体" w:hint="eastAsia"/>
          <w:color w:val="000000"/>
          <w:kern w:val="0"/>
          <w:sz w:val="32"/>
          <w:szCs w:val="32"/>
        </w:rPr>
        <w:t>一、扶持范围</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 w:cs="宋体" w:hint="eastAsia"/>
          <w:color w:val="000000"/>
          <w:kern w:val="0"/>
          <w:sz w:val="32"/>
          <w:szCs w:val="32"/>
        </w:rPr>
        <w:t>在鸠江区范围内注册、纳税的服务业企业法人单位。</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黑体" w:eastAsia="黑体" w:hAnsi="黑体" w:cs="黑体" w:hint="eastAsia"/>
          <w:color w:val="000000"/>
          <w:kern w:val="0"/>
          <w:sz w:val="32"/>
          <w:szCs w:val="32"/>
        </w:rPr>
        <w:t>二、扶持对象和标准</w:t>
      </w:r>
    </w:p>
    <w:p w:rsidR="00181416" w:rsidRPr="00181416" w:rsidRDefault="00181416" w:rsidP="00181416">
      <w:pPr>
        <w:widowControl/>
        <w:wordWrap w:val="0"/>
        <w:spacing w:line="600" w:lineRule="exact"/>
        <w:ind w:firstLineChars="200" w:firstLine="624"/>
        <w:jc w:val="left"/>
        <w:rPr>
          <w:rFonts w:ascii="宋体" w:eastAsia="宋体" w:hAnsi="宋体" w:cs="宋体"/>
          <w:color w:val="000000"/>
          <w:kern w:val="0"/>
          <w:sz w:val="24"/>
          <w:szCs w:val="24"/>
        </w:rPr>
      </w:pPr>
      <w:r w:rsidRPr="00181416">
        <w:rPr>
          <w:rFonts w:ascii="楷体_GB2312" w:eastAsia="楷体_GB2312" w:hAnsi="楷体_GB2312" w:cs="宋体" w:hint="eastAsia"/>
          <w:color w:val="000000"/>
          <w:spacing w:val="-4"/>
          <w:kern w:val="0"/>
          <w:sz w:val="32"/>
          <w:szCs w:val="32"/>
        </w:rPr>
        <w:t>（一）电商企业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1、网络销售额达标的电商企业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对年网络销售额首次达5000万元、1亿元、5亿元的电商企业，分别给予5万元、10万元、50万元的奖励（销售额以第三方电子商务平台企业销售数据为准）。</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2、获批的国家级、省级电子商务示范园区或示范企业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对注册在我区，获得国家级、省级电子商务示范园区或示范企业的，在市级奖励的基础上另行给予10万元资金奖励。</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3、跨境电子商务</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鼓励企业开展跨境电子商务业务，提高跨境电子商务成交额。对年跨境电子商务成交额首次达到2000—5000万美元（不含5000万美元）的企业，给予一次性20万元的资金奖励。</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lastRenderedPageBreak/>
        <w:t>（二）外贸进出口企业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对年进出口总额首次达到500万美元、1000万美元、5000万美元的企业，分别给予5万元、10万元、15万元奖励；对上年度进出口总额1000万美元以上，且次年同比增幅超10%、30%、50%的企业，分别对当年进出口增加部分额给予0.01元人民币/美元、0.02元人民币/美元、0.03元人民币/美元的奖励，最高不超过50万元。</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（三）大型市场集中收银</w:t>
      </w:r>
      <w:r w:rsidRPr="00181416">
        <w:rPr>
          <w:rFonts w:ascii="楷体" w:eastAsia="楷体" w:hAnsi="楷体" w:cs="楷体" w:hint="eastAsia"/>
          <w:color w:val="000000"/>
          <w:kern w:val="0"/>
          <w:sz w:val="32"/>
          <w:szCs w:val="32"/>
        </w:rPr>
        <w:t xml:space="preserve">  </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对进入限上商贸或重点服务业名录，且经营面积在5000平方米以上的专业市场、园区实现集中收银的，按其集中收银设施设备投入的80%给予一次性奖补，最高不超过20万元。</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（四）文化旅游业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1、新注册的品牌旅行社</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对全国百强旅行社、境外品牌旅行社来我区新设旅行社的，给予一次性5万元奖励。</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2、新创建成功的3A—5A级景区</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对新创建成功的3A—5A级景区，在市级奖励的基础上，分别给予景区运营单位一次性5万元、10万元、20万元奖励。</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黑体" w:eastAsia="黑体" w:hAnsi="黑体" w:cs="黑体" w:hint="eastAsia"/>
          <w:color w:val="000000"/>
          <w:kern w:val="0"/>
          <w:sz w:val="32"/>
          <w:szCs w:val="32"/>
        </w:rPr>
        <w:t>三、申报材料</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（一）网络销售额达标的电商企业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1、鸠江区电子商务企业奖补资金申报表；</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lastRenderedPageBreak/>
        <w:t>2、工商营业执照、法人身份证及复印件；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3、申报年度纳税证明；</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4、申报年度网络销售统计表及第三方电子商务平台企业销售数据截图。</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（二）获批的电子商务示范园区或示范企业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1、鸠江区电子商务企业奖补资金申报表；</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2、工商营业执照、法人身份证及复印件；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3、批复文件复印件。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（三）跨境电子商务</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1、企业申请报告；</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2、工商营业执照、法人身份证及复印件；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3、企业跨境电子商务成交额相关证明材料等</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（四）外贸进出口企业</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1、企业扩大进出口规模情况申请表；</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2、企业申请报告（主要包括进出口额、纳税等情况）；</w:t>
      </w:r>
      <w:r w:rsidRPr="00181416">
        <w:rPr>
          <w:rFonts w:ascii="仿宋_GB2312" w:eastAsia="仿宋_GB2312" w:hAnsi="仿宋_GB2312" w:cs="仿宋_GB2312" w:hint="eastAsia"/>
          <w:color w:val="000000"/>
          <w:kern w:val="0"/>
          <w:sz w:val="32"/>
          <w:szCs w:val="32"/>
        </w:rPr>
        <w:br/>
        <w:t xml:space="preserve">    3、企业法人营业执照副本复印件；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4、出口额相关证明材料。</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（五）大型市场集中收银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1、企业申请报告；</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2、工商营业执照、法人身份证及复印件；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3、安装收银设施设备的照片、发票、报表等材料。</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（六）新注册的品牌旅行社</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lastRenderedPageBreak/>
        <w:t>1、企业申请报告；</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2、工商营业执照、许可证副本、负责人身份证、股东出资证明材料等复印件；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3、新注册的品牌旅行社母公司在全国百强旅行社、境外品牌旅行社以国家旅游局发文或官方网站公布并经市旅游局确认为准；</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4、企业正常运营财务报表等相关证明材料。</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楷体_GB2312" w:eastAsia="楷体_GB2312" w:hAnsi="楷体" w:cs="楷体" w:hint="eastAsia"/>
          <w:color w:val="000000"/>
          <w:kern w:val="0"/>
          <w:sz w:val="32"/>
          <w:szCs w:val="32"/>
        </w:rPr>
        <w:t>（七）新创建成功的3A—5A级景区</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1、企业申请报告；</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2、工商营业执照、许可证副本、负责人身份证及复印件；</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3、3A-5A级景区创建成功以旅游主管部门发文或官方网站公布为准；</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4、企业正常运营财务报表等相关证明材料。</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黑体" w:eastAsia="黑体" w:hAnsi="黑体" w:cs="黑体" w:hint="eastAsia"/>
          <w:color w:val="000000"/>
          <w:kern w:val="0"/>
          <w:sz w:val="32"/>
          <w:szCs w:val="32"/>
        </w:rPr>
        <w:t>四、申报时间</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每年3月申报上一年度的扶持奖励。</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黑体" w:eastAsia="黑体" w:hAnsi="黑体" w:cs="黑体" w:hint="eastAsia"/>
          <w:color w:val="000000"/>
          <w:kern w:val="0"/>
          <w:sz w:val="32"/>
          <w:szCs w:val="32"/>
        </w:rPr>
        <w:t>五、申报及兑付程序</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申报单位自行向所在镇街提出扶持兑付申请，镇街进行初审；所在镇街将申报材料报区商务局，会同区财政局进行复核并公示，对复核并公示无异议的扶持对象，报区政府审批后给予兑现。</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黑体" w:eastAsia="黑体" w:hAnsi="黑体" w:cs="黑体" w:hint="eastAsia"/>
          <w:color w:val="000000"/>
          <w:kern w:val="0"/>
          <w:sz w:val="32"/>
          <w:szCs w:val="32"/>
        </w:rPr>
        <w:t>六、其他</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lastRenderedPageBreak/>
        <w:t>1.本办法所规定的扶持对象以工商营业执照所载明的相关信息为准。</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2.本办法政策内容如与其他政策重复，或扶持对象已享受“一事一议”扶持政策的，按“就高不就低”原则给予支持，不重复享受。</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3.对当年度发生提供虚假信息资料获取扶持补助的企业，责令全额返还扶持补助金，并依法追究其法律责任，3年内取消相关扶持资金申报资格。对发生较大安全生产责任事故、不服从主管部门管理的企业，取消享受扶持资格。</w:t>
      </w:r>
    </w:p>
    <w:p w:rsidR="00181416" w:rsidRPr="00181416" w:rsidRDefault="00181416" w:rsidP="00181416">
      <w:pPr>
        <w:widowControl/>
        <w:wordWrap w:val="0"/>
        <w:spacing w:line="600" w:lineRule="exact"/>
        <w:ind w:firstLineChars="200" w:firstLine="640"/>
        <w:jc w:val="left"/>
        <w:rPr>
          <w:rFonts w:ascii="宋体" w:eastAsia="宋体" w:hAnsi="宋体" w:cs="宋体"/>
          <w:color w:val="000000"/>
          <w:kern w:val="0"/>
          <w:sz w:val="24"/>
          <w:szCs w:val="24"/>
        </w:rPr>
      </w:pPr>
      <w:r w:rsidRPr="00181416">
        <w:rPr>
          <w:rFonts w:ascii="仿宋_GB2312" w:eastAsia="仿宋_GB2312" w:hAnsi="仿宋_GB2312" w:cs="仿宋_GB2312" w:hint="eastAsia"/>
          <w:color w:val="000000"/>
          <w:kern w:val="0"/>
          <w:sz w:val="32"/>
          <w:szCs w:val="32"/>
        </w:rPr>
        <w:t>4.本办法由区商务局负责解释。</w:t>
      </w:r>
    </w:p>
    <w:p w:rsidR="00D877FC" w:rsidRDefault="00181416" w:rsidP="00181416">
      <w:r w:rsidRPr="00181416">
        <w:rPr>
          <w:rFonts w:ascii="仿宋_GB2312" w:eastAsia="仿宋_GB2312" w:hAnsi="仿宋_GB2312" w:cs="仿宋_GB2312" w:hint="eastAsia"/>
          <w:color w:val="000000"/>
          <w:kern w:val="0"/>
          <w:sz w:val="32"/>
          <w:szCs w:val="32"/>
        </w:rPr>
        <w:t>5.本办法自发布之日起实施。</w:t>
      </w:r>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05"/>
    <w:rsid w:val="00181416"/>
    <w:rsid w:val="001C0505"/>
    <w:rsid w:val="00251CA6"/>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8B47D-3E68-4B6D-A7C2-0ED06B32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Company>Microsoft</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2018-05-06T16:37:00Z</dcterms:created>
  <dcterms:modified xsi:type="dcterms:W3CDTF">2018-05-06T16:37:00Z</dcterms:modified>
</cp:coreProperties>
</file>