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7974"/>
      </w:tblGrid>
      <w:tr w:rsidR="005321CD" w:rsidRPr="005321CD">
        <w:trPr>
          <w:trHeight w:val="600"/>
          <w:tblCellSpacing w:w="0" w:type="dxa"/>
          <w:jc w:val="center"/>
        </w:trPr>
        <w:tc>
          <w:tcPr>
            <w:tcW w:w="0" w:type="auto"/>
            <w:vAlign w:val="center"/>
            <w:hideMark/>
          </w:tcPr>
          <w:p w:rsidR="005321CD" w:rsidRPr="005321CD" w:rsidRDefault="005321CD" w:rsidP="005321CD">
            <w:pPr>
              <w:widowControl/>
              <w:spacing w:line="408" w:lineRule="auto"/>
              <w:jc w:val="center"/>
              <w:rPr>
                <w:rFonts w:ascii="宋体" w:eastAsia="宋体" w:hAnsi="宋体" w:cs="宋体"/>
                <w:b/>
                <w:bCs/>
                <w:color w:val="000000"/>
                <w:kern w:val="0"/>
                <w:sz w:val="24"/>
                <w:szCs w:val="24"/>
              </w:rPr>
            </w:pPr>
            <w:r w:rsidRPr="005321CD">
              <w:rPr>
                <w:rFonts w:ascii="宋体" w:eastAsia="宋体" w:hAnsi="宋体" w:cs="宋体"/>
                <w:b/>
                <w:bCs/>
                <w:color w:val="000000"/>
                <w:kern w:val="0"/>
                <w:sz w:val="24"/>
                <w:szCs w:val="24"/>
              </w:rPr>
              <w:t>重庆市人民政府办公厅关于大力培育高新技术企业的实施意见</w:t>
            </w:r>
          </w:p>
        </w:tc>
      </w:tr>
      <w:tr w:rsidR="005321CD" w:rsidRPr="005321CD">
        <w:trPr>
          <w:tblCellSpacing w:w="0" w:type="dxa"/>
          <w:jc w:val="center"/>
        </w:trPr>
        <w:tc>
          <w:tcPr>
            <w:tcW w:w="0" w:type="auto"/>
            <w:vAlign w:val="center"/>
            <w:hideMark/>
          </w:tcPr>
          <w:p w:rsidR="005321CD" w:rsidRPr="005321CD" w:rsidRDefault="005321CD" w:rsidP="005321CD">
            <w:pPr>
              <w:widowControl/>
              <w:spacing w:line="408" w:lineRule="auto"/>
              <w:jc w:val="center"/>
              <w:rPr>
                <w:rFonts w:ascii="宋体" w:eastAsia="宋体" w:hAnsi="宋体" w:cs="宋体"/>
                <w:color w:val="999999"/>
                <w:kern w:val="0"/>
                <w:sz w:val="18"/>
                <w:szCs w:val="18"/>
              </w:rPr>
            </w:pPr>
            <w:bookmarkStart w:id="0" w:name="_GoBack" w:colFirst="0" w:colLast="0"/>
            <w:r w:rsidRPr="005321CD">
              <w:rPr>
                <w:rFonts w:ascii="宋体" w:eastAsia="宋体" w:hAnsi="宋体" w:cs="宋体"/>
                <w:color w:val="999999"/>
                <w:kern w:val="0"/>
                <w:sz w:val="18"/>
                <w:szCs w:val="18"/>
              </w:rPr>
              <w:t xml:space="preserve">来自： 法规处 　发表人： </w:t>
            </w:r>
            <w:proofErr w:type="spellStart"/>
            <w:r w:rsidRPr="005321CD">
              <w:rPr>
                <w:rFonts w:ascii="宋体" w:eastAsia="宋体" w:hAnsi="宋体" w:cs="宋体"/>
                <w:color w:val="999999"/>
                <w:kern w:val="0"/>
                <w:sz w:val="18"/>
                <w:szCs w:val="18"/>
              </w:rPr>
              <w:t>fgc</w:t>
            </w:r>
            <w:proofErr w:type="spellEnd"/>
            <w:r w:rsidRPr="005321CD">
              <w:rPr>
                <w:rFonts w:ascii="宋体" w:eastAsia="宋体" w:hAnsi="宋体" w:cs="宋体"/>
                <w:color w:val="999999"/>
                <w:kern w:val="0"/>
                <w:sz w:val="18"/>
                <w:szCs w:val="18"/>
              </w:rPr>
              <w:t xml:space="preserve"> 　发布文号: </w:t>
            </w:r>
            <w:proofErr w:type="gramStart"/>
            <w:r w:rsidRPr="005321CD">
              <w:rPr>
                <w:rFonts w:ascii="宋体" w:eastAsia="宋体" w:hAnsi="宋体" w:cs="宋体"/>
                <w:color w:val="999999"/>
                <w:kern w:val="0"/>
                <w:sz w:val="18"/>
                <w:szCs w:val="18"/>
              </w:rPr>
              <w:t>渝府办</w:t>
            </w:r>
            <w:proofErr w:type="gramEnd"/>
            <w:r w:rsidRPr="005321CD">
              <w:rPr>
                <w:rFonts w:ascii="宋体" w:eastAsia="宋体" w:hAnsi="宋体" w:cs="宋体"/>
                <w:color w:val="999999"/>
                <w:kern w:val="0"/>
                <w:sz w:val="18"/>
                <w:szCs w:val="18"/>
              </w:rPr>
              <w:t>发（2016）90号 审核人: 丁健 发布时间： 2018-03-02  浏览数：53807</w:t>
            </w:r>
          </w:p>
        </w:tc>
      </w:tr>
      <w:tr w:rsidR="005321CD" w:rsidRPr="005321CD">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974"/>
            </w:tblGrid>
            <w:tr w:rsidR="005321CD" w:rsidRPr="005321CD">
              <w:trPr>
                <w:tblCellSpacing w:w="0" w:type="dxa"/>
              </w:trPr>
              <w:tc>
                <w:tcPr>
                  <w:tcW w:w="0" w:type="auto"/>
                  <w:vAlign w:val="center"/>
                  <w:hideMark/>
                </w:tcPr>
                <w:bookmarkEnd w:id="0"/>
                <w:p w:rsidR="005321CD" w:rsidRPr="005321CD" w:rsidRDefault="005321CD" w:rsidP="005321CD">
                  <w:pPr>
                    <w:widowControl/>
                    <w:spacing w:line="408" w:lineRule="auto"/>
                    <w:jc w:val="right"/>
                    <w:rPr>
                      <w:rFonts w:ascii="宋体" w:eastAsia="宋体" w:hAnsi="宋体" w:cs="宋体"/>
                      <w:color w:val="000000"/>
                      <w:kern w:val="0"/>
                      <w:sz w:val="18"/>
                      <w:szCs w:val="18"/>
                    </w:rPr>
                  </w:pPr>
                  <w:r w:rsidRPr="005321CD">
                    <w:rPr>
                      <w:rFonts w:ascii="宋体" w:eastAsia="宋体" w:hAnsi="宋体" w:cs="宋体"/>
                      <w:noProof/>
                      <w:color w:val="000000"/>
                      <w:kern w:val="0"/>
                      <w:sz w:val="18"/>
                      <w:szCs w:val="18"/>
                    </w:rPr>
                    <w:drawing>
                      <wp:inline distT="0" distB="0" distL="0" distR="0">
                        <wp:extent cx="133350" cy="85725"/>
                        <wp:effectExtent l="0" t="0" r="0" b="9525"/>
                        <wp:docPr id="1" name="图片 1"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tc.gov.cn/images/v_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rsidR="005321CD" w:rsidRPr="005321CD" w:rsidRDefault="005321CD" w:rsidP="005321CD">
            <w:pPr>
              <w:widowControl/>
              <w:spacing w:line="408" w:lineRule="auto"/>
              <w:jc w:val="left"/>
              <w:rPr>
                <w:rFonts w:ascii="宋体" w:eastAsia="宋体" w:hAnsi="宋体" w:cs="宋体"/>
                <w:color w:val="000000"/>
                <w:kern w:val="0"/>
                <w:sz w:val="18"/>
                <w:szCs w:val="18"/>
              </w:rPr>
            </w:pPr>
          </w:p>
        </w:tc>
      </w:tr>
      <w:tr w:rsidR="005321CD" w:rsidRPr="005321CD">
        <w:trPr>
          <w:tblCellSpacing w:w="0" w:type="dxa"/>
          <w:jc w:val="center"/>
        </w:trPr>
        <w:tc>
          <w:tcPr>
            <w:tcW w:w="0" w:type="auto"/>
            <w:tcMar>
              <w:top w:w="225" w:type="dxa"/>
              <w:left w:w="0" w:type="dxa"/>
              <w:bottom w:w="0" w:type="dxa"/>
              <w:right w:w="0" w:type="dxa"/>
            </w:tcMar>
            <w:vAlign w:val="center"/>
            <w:hideMark/>
          </w:tcPr>
          <w:p w:rsidR="005321CD" w:rsidRPr="005321CD" w:rsidRDefault="005321CD" w:rsidP="005321CD">
            <w:pPr>
              <w:widowControl/>
              <w:spacing w:line="408" w:lineRule="auto"/>
              <w:jc w:val="center"/>
              <w:rPr>
                <w:rFonts w:ascii="宋体" w:eastAsia="宋体" w:hAnsi="宋体" w:cs="宋体"/>
                <w:color w:val="000000"/>
                <w:kern w:val="0"/>
                <w:szCs w:val="21"/>
              </w:rPr>
            </w:pPr>
            <w:r w:rsidRPr="005321CD">
              <w:rPr>
                <w:rFonts w:ascii="宋体" w:eastAsia="宋体" w:hAnsi="宋体" w:cs="宋体"/>
                <w:color w:val="000000"/>
                <w:kern w:val="0"/>
                <w:szCs w:val="21"/>
              </w:rPr>
              <w:t xml:space="preserve">　　重庆市人民政府办公厅关于</w:t>
            </w:r>
          </w:p>
          <w:p w:rsidR="005321CD" w:rsidRPr="005321CD" w:rsidRDefault="005321CD" w:rsidP="005321CD">
            <w:pPr>
              <w:widowControl/>
              <w:spacing w:line="408" w:lineRule="auto"/>
              <w:jc w:val="center"/>
              <w:rPr>
                <w:rFonts w:ascii="宋体" w:eastAsia="宋体" w:hAnsi="宋体" w:cs="宋体"/>
                <w:color w:val="000000"/>
                <w:kern w:val="0"/>
                <w:szCs w:val="21"/>
              </w:rPr>
            </w:pPr>
            <w:r w:rsidRPr="005321CD">
              <w:rPr>
                <w:rFonts w:ascii="宋体" w:eastAsia="宋体" w:hAnsi="宋体" w:cs="宋体"/>
                <w:color w:val="000000"/>
                <w:kern w:val="0"/>
                <w:szCs w:val="21"/>
              </w:rPr>
              <w:t xml:space="preserve">　　大力培育高新技术企业的实施意见</w:t>
            </w:r>
          </w:p>
          <w:p w:rsidR="005321CD" w:rsidRPr="005321CD" w:rsidRDefault="005321CD" w:rsidP="005321CD">
            <w:pPr>
              <w:widowControl/>
              <w:spacing w:line="408" w:lineRule="auto"/>
              <w:jc w:val="center"/>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center"/>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roofErr w:type="gramStart"/>
            <w:r w:rsidRPr="005321CD">
              <w:rPr>
                <w:rFonts w:ascii="宋体" w:eastAsia="宋体" w:hAnsi="宋体" w:cs="宋体"/>
                <w:color w:val="000000"/>
                <w:kern w:val="0"/>
                <w:szCs w:val="21"/>
              </w:rPr>
              <w:t>渝府办</w:t>
            </w:r>
            <w:proofErr w:type="gramEnd"/>
            <w:r w:rsidRPr="005321CD">
              <w:rPr>
                <w:rFonts w:ascii="宋体" w:eastAsia="宋体" w:hAnsi="宋体" w:cs="宋体"/>
                <w:color w:val="000000"/>
                <w:kern w:val="0"/>
                <w:szCs w:val="21"/>
              </w:rPr>
              <w:t>发[2016]90号</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各区县（自治县）人民政府，市政府有关部门，有关单位：</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为推动全市高新技术企业发展，培育创造新技术、新业态和提供新供给的生力军，推动产业升级转型和创新发展，加快建设西部创新中心，经市政府同意，现提出如下实施意见。</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一、发展目标</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围绕实施创新驱动发展战略，按照供给侧结构性改革的要求和建设西部创新中心的需求，集聚创新要素，大力培育高新技术企业，打造具有国际竞争力的高新技术产业集群，推动全市产业转型升级。到</w:t>
            </w:r>
            <w:r w:rsidRPr="005321CD">
              <w:rPr>
                <w:rFonts w:ascii="Calibri" w:eastAsia="宋体" w:hAnsi="Calibri" w:cs="Calibri"/>
                <w:color w:val="000000"/>
                <w:kern w:val="0"/>
                <w:szCs w:val="21"/>
              </w:rPr>
              <w:t>2018</w:t>
            </w:r>
            <w:r w:rsidRPr="005321CD">
              <w:rPr>
                <w:rFonts w:ascii="宋体" w:eastAsia="宋体" w:hAnsi="宋体" w:cs="宋体"/>
                <w:color w:val="000000"/>
                <w:kern w:val="0"/>
                <w:szCs w:val="21"/>
              </w:rPr>
              <w:t>年，全市新增科技型企业</w:t>
            </w:r>
            <w:r w:rsidRPr="005321CD">
              <w:rPr>
                <w:rFonts w:ascii="Calibri" w:eastAsia="宋体" w:hAnsi="Calibri" w:cs="Calibri"/>
                <w:color w:val="000000"/>
                <w:kern w:val="0"/>
                <w:szCs w:val="21"/>
              </w:rPr>
              <w:t>1</w:t>
            </w:r>
            <w:r w:rsidRPr="005321CD">
              <w:rPr>
                <w:rFonts w:ascii="宋体" w:eastAsia="宋体" w:hAnsi="宋体" w:cs="宋体"/>
                <w:color w:val="000000"/>
                <w:kern w:val="0"/>
                <w:szCs w:val="21"/>
              </w:rPr>
              <w:t>万家，新增高新技术企业</w:t>
            </w:r>
            <w:r w:rsidRPr="005321CD">
              <w:rPr>
                <w:rFonts w:ascii="Calibri" w:eastAsia="宋体" w:hAnsi="Calibri" w:cs="Calibri"/>
                <w:color w:val="000000"/>
                <w:kern w:val="0"/>
                <w:szCs w:val="21"/>
              </w:rPr>
              <w:t>1000</w:t>
            </w:r>
            <w:r w:rsidRPr="005321CD">
              <w:rPr>
                <w:rFonts w:ascii="宋体" w:eastAsia="宋体" w:hAnsi="宋体" w:cs="宋体"/>
                <w:color w:val="000000"/>
                <w:kern w:val="0"/>
                <w:szCs w:val="21"/>
              </w:rPr>
              <w:t>家，辅导上市企业</w:t>
            </w:r>
            <w:r w:rsidRPr="005321CD">
              <w:rPr>
                <w:rFonts w:ascii="Calibri" w:eastAsia="宋体" w:hAnsi="Calibri" w:cs="Calibri"/>
                <w:color w:val="000000"/>
                <w:kern w:val="0"/>
                <w:szCs w:val="21"/>
              </w:rPr>
              <w:t>100</w:t>
            </w:r>
            <w:r w:rsidRPr="005321CD">
              <w:rPr>
                <w:rFonts w:ascii="宋体" w:eastAsia="宋体" w:hAnsi="宋体" w:cs="宋体"/>
                <w:color w:val="000000"/>
                <w:kern w:val="0"/>
                <w:szCs w:val="21"/>
              </w:rPr>
              <w:t>家；到</w:t>
            </w:r>
            <w:r w:rsidRPr="005321CD">
              <w:rPr>
                <w:rFonts w:ascii="Calibri" w:eastAsia="宋体" w:hAnsi="Calibri" w:cs="Calibri"/>
                <w:color w:val="000000"/>
                <w:kern w:val="0"/>
                <w:szCs w:val="21"/>
              </w:rPr>
              <w:t>2020</w:t>
            </w:r>
            <w:r w:rsidRPr="005321CD">
              <w:rPr>
                <w:rFonts w:ascii="宋体" w:eastAsia="宋体" w:hAnsi="宋体" w:cs="宋体"/>
                <w:color w:val="000000"/>
                <w:kern w:val="0"/>
                <w:szCs w:val="21"/>
              </w:rPr>
              <w:t>年，全市新增科技型企业</w:t>
            </w:r>
            <w:r w:rsidRPr="005321CD">
              <w:rPr>
                <w:rFonts w:ascii="Calibri" w:eastAsia="宋体" w:hAnsi="Calibri" w:cs="Calibri"/>
                <w:color w:val="000000"/>
                <w:kern w:val="0"/>
                <w:szCs w:val="21"/>
              </w:rPr>
              <w:t>2</w:t>
            </w:r>
            <w:r w:rsidRPr="005321CD">
              <w:rPr>
                <w:rFonts w:ascii="宋体" w:eastAsia="宋体" w:hAnsi="宋体" w:cs="宋体"/>
                <w:color w:val="000000"/>
                <w:kern w:val="0"/>
                <w:szCs w:val="21"/>
              </w:rPr>
              <w:t>万家，新增高新技术企业</w:t>
            </w:r>
            <w:r w:rsidRPr="005321CD">
              <w:rPr>
                <w:rFonts w:ascii="Calibri" w:eastAsia="宋体" w:hAnsi="Calibri" w:cs="Calibri"/>
                <w:color w:val="000000"/>
                <w:kern w:val="0"/>
                <w:szCs w:val="21"/>
              </w:rPr>
              <w:t>2000</w:t>
            </w:r>
            <w:r w:rsidRPr="005321CD">
              <w:rPr>
                <w:rFonts w:ascii="宋体" w:eastAsia="宋体" w:hAnsi="宋体" w:cs="宋体"/>
                <w:color w:val="000000"/>
                <w:kern w:val="0"/>
                <w:szCs w:val="21"/>
              </w:rPr>
              <w:t>家（有效期内的高新技术企业总数突破</w:t>
            </w:r>
            <w:r w:rsidRPr="005321CD">
              <w:rPr>
                <w:rFonts w:ascii="Calibri" w:eastAsia="宋体" w:hAnsi="Calibri" w:cs="Calibri"/>
                <w:color w:val="000000"/>
                <w:kern w:val="0"/>
                <w:szCs w:val="21"/>
              </w:rPr>
              <w:t>3000</w:t>
            </w:r>
            <w:r w:rsidRPr="005321CD">
              <w:rPr>
                <w:rFonts w:ascii="宋体" w:eastAsia="宋体" w:hAnsi="宋体" w:cs="宋体"/>
                <w:color w:val="000000"/>
                <w:kern w:val="0"/>
                <w:szCs w:val="21"/>
              </w:rPr>
              <w:t>家），辅导上市企业</w:t>
            </w:r>
            <w:r w:rsidRPr="005321CD">
              <w:rPr>
                <w:rFonts w:ascii="Calibri" w:eastAsia="宋体" w:hAnsi="Calibri" w:cs="Calibri"/>
                <w:color w:val="000000"/>
                <w:kern w:val="0"/>
                <w:szCs w:val="21"/>
              </w:rPr>
              <w:t>200</w:t>
            </w:r>
            <w:r w:rsidRPr="005321CD">
              <w:rPr>
                <w:rFonts w:ascii="宋体" w:eastAsia="宋体" w:hAnsi="宋体" w:cs="宋体"/>
                <w:color w:val="000000"/>
                <w:kern w:val="0"/>
                <w:szCs w:val="21"/>
              </w:rPr>
              <w:t>家。</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二、扶持政策</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（一）对首次认定的高新技术企业，从认定次年起，连续三年按企业所得税地方留成部分</w:t>
            </w:r>
            <w:r w:rsidRPr="005321CD">
              <w:rPr>
                <w:rFonts w:ascii="Calibri" w:eastAsia="宋体" w:hAnsi="Calibri" w:cs="Calibri"/>
                <w:color w:val="000000"/>
                <w:kern w:val="0"/>
                <w:szCs w:val="21"/>
              </w:rPr>
              <w:t>50%</w:t>
            </w:r>
            <w:r w:rsidRPr="005321CD">
              <w:rPr>
                <w:rFonts w:ascii="宋体" w:eastAsia="宋体" w:hAnsi="宋体" w:cs="宋体"/>
                <w:color w:val="000000"/>
                <w:kern w:val="0"/>
                <w:szCs w:val="21"/>
              </w:rPr>
              <w:t>的额度作为</w:t>
            </w:r>
            <w:proofErr w:type="gramStart"/>
            <w:r w:rsidRPr="005321CD">
              <w:rPr>
                <w:rFonts w:ascii="宋体" w:eastAsia="宋体" w:hAnsi="宋体" w:cs="宋体"/>
                <w:color w:val="000000"/>
                <w:kern w:val="0"/>
                <w:szCs w:val="21"/>
              </w:rPr>
              <w:t>研发专项</w:t>
            </w:r>
            <w:proofErr w:type="gramEnd"/>
            <w:r w:rsidRPr="005321CD">
              <w:rPr>
                <w:rFonts w:ascii="宋体" w:eastAsia="宋体" w:hAnsi="宋体" w:cs="宋体"/>
                <w:color w:val="000000"/>
                <w:kern w:val="0"/>
                <w:szCs w:val="21"/>
              </w:rPr>
              <w:t>资金补助，每年总金额不超过</w:t>
            </w:r>
            <w:r w:rsidRPr="005321CD">
              <w:rPr>
                <w:rFonts w:ascii="Calibri" w:eastAsia="宋体" w:hAnsi="Calibri" w:cs="Calibri"/>
                <w:color w:val="000000"/>
                <w:kern w:val="0"/>
                <w:szCs w:val="21"/>
              </w:rPr>
              <w:t>300</w:t>
            </w:r>
            <w:r w:rsidRPr="005321CD">
              <w:rPr>
                <w:rFonts w:ascii="宋体" w:eastAsia="宋体" w:hAnsi="宋体" w:cs="宋体"/>
                <w:color w:val="000000"/>
                <w:kern w:val="0"/>
                <w:szCs w:val="21"/>
              </w:rPr>
              <w:t>万元。</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（二）规模以上高新技术企业按照企业上年度研发投入实际额度不超过</w:t>
            </w:r>
            <w:r w:rsidRPr="005321CD">
              <w:rPr>
                <w:rFonts w:ascii="Calibri" w:eastAsia="宋体" w:hAnsi="Calibri" w:cs="Calibri"/>
                <w:color w:val="000000"/>
                <w:kern w:val="0"/>
                <w:szCs w:val="21"/>
              </w:rPr>
              <w:t>6%</w:t>
            </w:r>
            <w:r w:rsidRPr="005321CD">
              <w:rPr>
                <w:rFonts w:ascii="宋体" w:eastAsia="宋体" w:hAnsi="宋体" w:cs="宋体"/>
                <w:color w:val="000000"/>
                <w:kern w:val="0"/>
                <w:szCs w:val="21"/>
              </w:rPr>
              <w:t>进行补贴，最高不超过</w:t>
            </w:r>
            <w:r w:rsidRPr="005321CD">
              <w:rPr>
                <w:rFonts w:ascii="Calibri" w:eastAsia="宋体" w:hAnsi="Calibri" w:cs="Calibri"/>
                <w:color w:val="000000"/>
                <w:kern w:val="0"/>
                <w:szCs w:val="21"/>
              </w:rPr>
              <w:t>500</w:t>
            </w:r>
            <w:r w:rsidRPr="005321CD">
              <w:rPr>
                <w:rFonts w:ascii="宋体" w:eastAsia="宋体" w:hAnsi="宋体" w:cs="宋体"/>
                <w:color w:val="000000"/>
                <w:kern w:val="0"/>
                <w:szCs w:val="21"/>
              </w:rPr>
              <w:t>万元。</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lastRenderedPageBreak/>
              <w:t xml:space="preserve">　　（三）高新技术企业免缴科研与生产建设用房城市建设配套费。</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（四）纳入重庆市科技型企业管理数据库的企业申报高新技术企业，首次认定后，一次性给予培育高新技术企业奖励性后补助资金</w:t>
            </w:r>
            <w:r w:rsidRPr="005321CD">
              <w:rPr>
                <w:rFonts w:ascii="Calibri" w:eastAsia="宋体" w:hAnsi="Calibri" w:cs="Calibri"/>
                <w:color w:val="000000"/>
                <w:kern w:val="0"/>
                <w:szCs w:val="21"/>
              </w:rPr>
              <w:t>20</w:t>
            </w:r>
            <w:r w:rsidRPr="005321CD">
              <w:rPr>
                <w:rFonts w:ascii="宋体" w:eastAsia="宋体" w:hAnsi="宋体" w:cs="宋体"/>
                <w:color w:val="000000"/>
                <w:kern w:val="0"/>
                <w:szCs w:val="21"/>
              </w:rPr>
              <w:t>万元。</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（五）高新技术企业利用知识产权质押融资的，按照不超过审定企业知识产权质押贷款坏账本金损失的</w:t>
            </w:r>
            <w:r w:rsidRPr="005321CD">
              <w:rPr>
                <w:rFonts w:ascii="Calibri" w:eastAsia="宋体" w:hAnsi="Calibri" w:cs="Calibri"/>
                <w:color w:val="000000"/>
                <w:kern w:val="0"/>
                <w:szCs w:val="21"/>
              </w:rPr>
              <w:t>30%</w:t>
            </w:r>
            <w:r w:rsidRPr="005321CD">
              <w:rPr>
                <w:rFonts w:ascii="宋体" w:eastAsia="宋体" w:hAnsi="宋体" w:cs="宋体"/>
                <w:color w:val="000000"/>
                <w:kern w:val="0"/>
                <w:szCs w:val="21"/>
              </w:rPr>
              <w:t>给予补偿，每笔贷款损失补偿不超过</w:t>
            </w:r>
            <w:r w:rsidRPr="005321CD">
              <w:rPr>
                <w:rFonts w:ascii="Calibri" w:eastAsia="宋体" w:hAnsi="Calibri" w:cs="Calibri"/>
                <w:color w:val="000000"/>
                <w:kern w:val="0"/>
                <w:szCs w:val="21"/>
              </w:rPr>
              <w:t>150</w:t>
            </w:r>
            <w:r w:rsidRPr="005321CD">
              <w:rPr>
                <w:rFonts w:ascii="宋体" w:eastAsia="宋体" w:hAnsi="宋体" w:cs="宋体"/>
                <w:color w:val="000000"/>
                <w:kern w:val="0"/>
                <w:szCs w:val="21"/>
              </w:rPr>
              <w:t>万元，纳入风险补偿范围的贷款，其贷款实际利率应当不超过同期人民银行贷款基准利率的</w:t>
            </w:r>
            <w:r w:rsidRPr="005321CD">
              <w:rPr>
                <w:rFonts w:ascii="Calibri" w:eastAsia="宋体" w:hAnsi="Calibri" w:cs="Calibri"/>
                <w:color w:val="000000"/>
                <w:kern w:val="0"/>
                <w:szCs w:val="21"/>
              </w:rPr>
              <w:t>150%</w:t>
            </w:r>
            <w:r w:rsidRPr="005321CD">
              <w:rPr>
                <w:rFonts w:ascii="宋体" w:eastAsia="宋体" w:hAnsi="宋体" w:cs="宋体"/>
                <w:color w:val="000000"/>
                <w:kern w:val="0"/>
                <w:szCs w:val="21"/>
              </w:rPr>
              <w:t>。为企业知识产权质押贷款提供担保或保险的，给予担保或保险公司不超过每笔贷款金额</w:t>
            </w:r>
            <w:r w:rsidRPr="005321CD">
              <w:rPr>
                <w:rFonts w:ascii="Calibri" w:eastAsia="宋体" w:hAnsi="Calibri" w:cs="Calibri"/>
                <w:color w:val="000000"/>
                <w:kern w:val="0"/>
                <w:szCs w:val="21"/>
              </w:rPr>
              <w:t>1%</w:t>
            </w:r>
            <w:r w:rsidRPr="005321CD">
              <w:rPr>
                <w:rFonts w:ascii="宋体" w:eastAsia="宋体" w:hAnsi="宋体" w:cs="宋体"/>
                <w:color w:val="000000"/>
                <w:kern w:val="0"/>
                <w:szCs w:val="21"/>
              </w:rPr>
              <w:t>的担保费和保险费补助。鼓励区县（自治县）人民政府、产业主管部门、园区管理机构给予企业融资一定额度的贷款贴息、评估补助、风险补助及其它形式的金融服务。</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（六）鼓励区县（自治县）人民政府、市级部门、园区管理机构开展创新</w:t>
            </w:r>
            <w:proofErr w:type="gramStart"/>
            <w:r w:rsidRPr="005321CD">
              <w:rPr>
                <w:rFonts w:ascii="宋体" w:eastAsia="宋体" w:hAnsi="宋体" w:cs="宋体"/>
                <w:color w:val="000000"/>
                <w:kern w:val="0"/>
                <w:szCs w:val="21"/>
              </w:rPr>
              <w:t>券</w:t>
            </w:r>
            <w:proofErr w:type="gramEnd"/>
            <w:r w:rsidRPr="005321CD">
              <w:rPr>
                <w:rFonts w:ascii="宋体" w:eastAsia="宋体" w:hAnsi="宋体" w:cs="宋体"/>
                <w:color w:val="000000"/>
                <w:kern w:val="0"/>
                <w:szCs w:val="21"/>
              </w:rPr>
              <w:t>试点，优先支持高新技术企业使用创新</w:t>
            </w:r>
            <w:proofErr w:type="gramStart"/>
            <w:r w:rsidRPr="005321CD">
              <w:rPr>
                <w:rFonts w:ascii="宋体" w:eastAsia="宋体" w:hAnsi="宋体" w:cs="宋体"/>
                <w:color w:val="000000"/>
                <w:kern w:val="0"/>
                <w:szCs w:val="21"/>
              </w:rPr>
              <w:t>券</w:t>
            </w:r>
            <w:proofErr w:type="gramEnd"/>
            <w:r w:rsidRPr="005321CD">
              <w:rPr>
                <w:rFonts w:ascii="宋体" w:eastAsia="宋体" w:hAnsi="宋体" w:cs="宋体"/>
                <w:color w:val="000000"/>
                <w:kern w:val="0"/>
                <w:szCs w:val="21"/>
              </w:rPr>
              <w:t>购买各类科技服务。鼓励区县（自治县）人民政府、园区管理机构对企业获得授权后的发明专利按一定额度资助其专利申请费。</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七）全市政府采购管理机构应将企业拥有自主知识产权的高新技术产品优先纳入政府采购目录，国家机关、人民团体和国有企事业单位在同等条件下，应优先采购列入政府采购目录的高新技术产品，尤其是首台（套）产品。</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八）鼓励国有高新技术企业以本企业股权为标的，采取股权出售、股权奖励、股权期权等方式，以科技成果转化收益为标的，采取项目收益分红方式，以企业经营收益为标的，采取岗位分红方式，对企业重要技术人员和经营管理人员实施激励。</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（九）鼓励高新技术企业申报国家及本市科研项目，建设高端研发机构，引进创新领军人才等，加速形成以企业为主体、以市场为导向的技术创新体系。</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三、工作机制</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一）市科技主管部门应建立全市各类科技型企业指导标准和管理体系，对高新技术企业和其他科技型企业进行分类管理。由市科技主管部门研究制定全市科技型企业标准，建立重庆市科技型企业数据库，推行一站式申报管理和跟踪服务，建立科技型企业评估和动态管理机制。强化高新技术企业培育工作，建立高新技术企业培育全流程服务体系。</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（二）市农业、工业、现代服务业主管部门以及中小微企业管理部门要在政策引导、资金安排、招商引资、跟踪服务等方面，强化相关行业领域科技型企业发展，加大高新技术企业培育力度。</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（三）各区县（自治县）人民政府、园区管理机构应将一般科技型企业作为高新技术企业的前期储备，采取有效措施，加大培育力度，选育出更多的高新技术企业，支撑本行政区域产业转型升级。</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（四）各区县（自治县）人民政府可结合本行政区域实际，制定支持高新技术企业与其他科技型企业的工作措施与扶持政策。</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（五）市政府督查室要加强高新技术企业与科技型企业培育发展工作的督促检查，确保政策措施落到实处。</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right"/>
              <w:rPr>
                <w:rFonts w:ascii="宋体" w:eastAsia="宋体" w:hAnsi="宋体" w:cs="宋体"/>
                <w:color w:val="000000"/>
                <w:kern w:val="0"/>
                <w:szCs w:val="21"/>
              </w:rPr>
            </w:pPr>
            <w:r w:rsidRPr="005321CD">
              <w:rPr>
                <w:rFonts w:ascii="宋体" w:eastAsia="宋体" w:hAnsi="宋体" w:cs="宋体"/>
                <w:color w:val="000000"/>
                <w:kern w:val="0"/>
                <w:szCs w:val="21"/>
              </w:rPr>
              <w:t xml:space="preserve">　　重庆市人民政府办公厅</w:t>
            </w:r>
            <w:r w:rsidRPr="005321CD">
              <w:rPr>
                <w:rFonts w:ascii="宋体" w:eastAsia="宋体" w:hAnsi="宋体" w:cs="宋体"/>
                <w:color w:val="000000"/>
                <w:kern w:val="0"/>
                <w:szCs w:val="21"/>
              </w:rPr>
              <w:br/>
              <w:t xml:space="preserve">　　2016年</w:t>
            </w:r>
            <w:r w:rsidRPr="005321CD">
              <w:rPr>
                <w:rFonts w:ascii="Calibri" w:eastAsia="宋体" w:hAnsi="Calibri" w:cs="Calibri"/>
                <w:color w:val="000000"/>
                <w:kern w:val="0"/>
                <w:szCs w:val="21"/>
              </w:rPr>
              <w:t>5</w:t>
            </w:r>
            <w:r w:rsidRPr="005321CD">
              <w:rPr>
                <w:rFonts w:ascii="宋体" w:eastAsia="宋体" w:hAnsi="宋体" w:cs="宋体"/>
                <w:color w:val="000000"/>
                <w:kern w:val="0"/>
                <w:szCs w:val="21"/>
              </w:rPr>
              <w:t>月</w:t>
            </w:r>
            <w:r w:rsidRPr="005321CD">
              <w:rPr>
                <w:rFonts w:ascii="Calibri" w:eastAsia="宋体" w:hAnsi="Calibri" w:cs="Calibri"/>
                <w:color w:val="000000"/>
                <w:kern w:val="0"/>
                <w:szCs w:val="21"/>
              </w:rPr>
              <w:t>24</w:t>
            </w:r>
            <w:r w:rsidRPr="005321CD">
              <w:rPr>
                <w:rFonts w:ascii="宋体" w:eastAsia="宋体" w:hAnsi="宋体" w:cs="宋体"/>
                <w:color w:val="000000"/>
                <w:kern w:val="0"/>
                <w:szCs w:val="21"/>
              </w:rPr>
              <w:t>日</w:t>
            </w:r>
          </w:p>
          <w:p w:rsidR="005321CD" w:rsidRPr="005321CD" w:rsidRDefault="005321CD" w:rsidP="005321CD">
            <w:pPr>
              <w:widowControl/>
              <w:spacing w:line="408" w:lineRule="auto"/>
              <w:jc w:val="right"/>
              <w:rPr>
                <w:rFonts w:ascii="宋体" w:eastAsia="宋体" w:hAnsi="宋体" w:cs="宋体"/>
                <w:color w:val="000000"/>
                <w:kern w:val="0"/>
                <w:szCs w:val="21"/>
              </w:rPr>
            </w:pPr>
            <w:r w:rsidRPr="005321CD">
              <w:rPr>
                <w:rFonts w:ascii="宋体" w:eastAsia="宋体" w:hAnsi="宋体" w:cs="宋体"/>
                <w:color w:val="000000"/>
                <w:kern w:val="0"/>
                <w:szCs w:val="21"/>
              </w:rPr>
              <w:t xml:space="preserve">　　</w:t>
            </w:r>
          </w:p>
          <w:p w:rsidR="005321CD" w:rsidRPr="005321CD" w:rsidRDefault="005321CD" w:rsidP="005321CD">
            <w:pPr>
              <w:widowControl/>
              <w:spacing w:line="408" w:lineRule="auto"/>
              <w:jc w:val="left"/>
              <w:rPr>
                <w:rFonts w:ascii="宋体" w:eastAsia="宋体" w:hAnsi="宋体" w:cs="宋体"/>
                <w:color w:val="000000"/>
                <w:kern w:val="0"/>
                <w:szCs w:val="21"/>
              </w:rPr>
            </w:pPr>
            <w:r w:rsidRPr="005321CD">
              <w:rPr>
                <w:rFonts w:ascii="宋体" w:eastAsia="宋体" w:hAnsi="宋体" w:cs="宋体"/>
                <w:color w:val="000000"/>
                <w:kern w:val="0"/>
                <w:szCs w:val="21"/>
              </w:rPr>
              <w:t xml:space="preserve">　　（此件公开发布）</w:t>
            </w:r>
          </w:p>
        </w:tc>
      </w:tr>
      <w:tr w:rsidR="005321CD" w:rsidRPr="005321CD">
        <w:trPr>
          <w:trHeight w:val="450"/>
          <w:tblCellSpacing w:w="0" w:type="dxa"/>
          <w:jc w:val="center"/>
        </w:trPr>
        <w:tc>
          <w:tcPr>
            <w:tcW w:w="0" w:type="auto"/>
            <w:vAlign w:val="bottom"/>
            <w:hideMark/>
          </w:tcPr>
          <w:p w:rsidR="005321CD" w:rsidRPr="005321CD" w:rsidRDefault="005321CD" w:rsidP="005321CD">
            <w:pPr>
              <w:widowControl/>
              <w:spacing w:line="408" w:lineRule="auto"/>
              <w:jc w:val="left"/>
              <w:rPr>
                <w:rFonts w:ascii="宋体" w:eastAsia="宋体" w:hAnsi="宋体" w:cs="宋体"/>
                <w:color w:val="000000"/>
                <w:kern w:val="0"/>
                <w:sz w:val="18"/>
                <w:szCs w:val="18"/>
              </w:rPr>
            </w:pPr>
            <w:r w:rsidRPr="005321CD">
              <w:rPr>
                <w:rFonts w:ascii="宋体" w:eastAsia="宋体" w:hAnsi="宋体" w:cs="宋体"/>
                <w:color w:val="000000"/>
                <w:kern w:val="0"/>
                <w:sz w:val="18"/>
                <w:szCs w:val="18"/>
              </w:rPr>
              <w:lastRenderedPageBreak/>
              <w:pict>
                <v:rect id="_x0000_i1025" style="width:0;height:.75pt" o:hralign="center" o:hrstd="t" o:hrnoshade="t" o:hr="t" fillcolor="#ccc" stroked="f"/>
              </w:pict>
            </w:r>
          </w:p>
        </w:tc>
      </w:tr>
    </w:tbl>
    <w:p w:rsidR="00A41443" w:rsidRDefault="00A41443"/>
    <w:sectPr w:rsidR="00A41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CD"/>
    <w:rsid w:val="005321CD"/>
    <w:rsid w:val="00A4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73077-23CC-447F-BD46-DAEA93B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4881">
      <w:bodyDiv w:val="1"/>
      <w:marLeft w:val="0"/>
      <w:marRight w:val="0"/>
      <w:marTop w:val="0"/>
      <w:marBottom w:val="0"/>
      <w:divBdr>
        <w:top w:val="none" w:sz="0" w:space="0" w:color="auto"/>
        <w:left w:val="none" w:sz="0" w:space="0" w:color="auto"/>
        <w:bottom w:val="none" w:sz="0" w:space="0" w:color="auto"/>
        <w:right w:val="none" w:sz="0" w:space="0" w:color="auto"/>
      </w:divBdr>
      <w:divsChild>
        <w:div w:id="1312566345">
          <w:marLeft w:val="0"/>
          <w:marRight w:val="0"/>
          <w:marTop w:val="0"/>
          <w:marBottom w:val="0"/>
          <w:divBdr>
            <w:top w:val="none" w:sz="0" w:space="0" w:color="auto"/>
            <w:left w:val="none" w:sz="0" w:space="0" w:color="auto"/>
            <w:bottom w:val="none" w:sz="0" w:space="0" w:color="auto"/>
            <w:right w:val="none" w:sz="0" w:space="0" w:color="auto"/>
          </w:divBdr>
          <w:divsChild>
            <w:div w:id="843327114">
              <w:marLeft w:val="0"/>
              <w:marRight w:val="0"/>
              <w:marTop w:val="0"/>
              <w:marBottom w:val="0"/>
              <w:divBdr>
                <w:top w:val="none" w:sz="0" w:space="0" w:color="auto"/>
                <w:left w:val="none" w:sz="0" w:space="0" w:color="auto"/>
                <w:bottom w:val="none" w:sz="0" w:space="0" w:color="auto"/>
                <w:right w:val="none" w:sz="0" w:space="0" w:color="auto"/>
              </w:divBdr>
            </w:div>
            <w:div w:id="324670717">
              <w:marLeft w:val="0"/>
              <w:marRight w:val="0"/>
              <w:marTop w:val="0"/>
              <w:marBottom w:val="0"/>
              <w:divBdr>
                <w:top w:val="none" w:sz="0" w:space="0" w:color="auto"/>
                <w:left w:val="none" w:sz="0" w:space="0" w:color="auto"/>
                <w:bottom w:val="none" w:sz="0" w:space="0" w:color="auto"/>
                <w:right w:val="none" w:sz="0" w:space="0" w:color="auto"/>
              </w:divBdr>
            </w:div>
            <w:div w:id="701901948">
              <w:marLeft w:val="0"/>
              <w:marRight w:val="0"/>
              <w:marTop w:val="0"/>
              <w:marBottom w:val="0"/>
              <w:divBdr>
                <w:top w:val="none" w:sz="0" w:space="0" w:color="auto"/>
                <w:left w:val="none" w:sz="0" w:space="0" w:color="auto"/>
                <w:bottom w:val="none" w:sz="0" w:space="0" w:color="auto"/>
                <w:right w:val="none" w:sz="0" w:space="0" w:color="auto"/>
              </w:divBdr>
            </w:div>
            <w:div w:id="912081594">
              <w:marLeft w:val="0"/>
              <w:marRight w:val="0"/>
              <w:marTop w:val="0"/>
              <w:marBottom w:val="0"/>
              <w:divBdr>
                <w:top w:val="none" w:sz="0" w:space="0" w:color="auto"/>
                <w:left w:val="none" w:sz="0" w:space="0" w:color="auto"/>
                <w:bottom w:val="none" w:sz="0" w:space="0" w:color="auto"/>
                <w:right w:val="none" w:sz="0" w:space="0" w:color="auto"/>
              </w:divBdr>
            </w:div>
            <w:div w:id="71172208">
              <w:marLeft w:val="0"/>
              <w:marRight w:val="0"/>
              <w:marTop w:val="0"/>
              <w:marBottom w:val="0"/>
              <w:divBdr>
                <w:top w:val="none" w:sz="0" w:space="0" w:color="auto"/>
                <w:left w:val="none" w:sz="0" w:space="0" w:color="auto"/>
                <w:bottom w:val="none" w:sz="0" w:space="0" w:color="auto"/>
                <w:right w:val="none" w:sz="0" w:space="0" w:color="auto"/>
              </w:divBdr>
            </w:div>
            <w:div w:id="1180462981">
              <w:marLeft w:val="0"/>
              <w:marRight w:val="0"/>
              <w:marTop w:val="0"/>
              <w:marBottom w:val="0"/>
              <w:divBdr>
                <w:top w:val="none" w:sz="0" w:space="0" w:color="auto"/>
                <w:left w:val="none" w:sz="0" w:space="0" w:color="auto"/>
                <w:bottom w:val="none" w:sz="0" w:space="0" w:color="auto"/>
                <w:right w:val="none" w:sz="0" w:space="0" w:color="auto"/>
              </w:divBdr>
            </w:div>
            <w:div w:id="1480028513">
              <w:marLeft w:val="0"/>
              <w:marRight w:val="0"/>
              <w:marTop w:val="0"/>
              <w:marBottom w:val="0"/>
              <w:divBdr>
                <w:top w:val="none" w:sz="0" w:space="0" w:color="auto"/>
                <w:left w:val="none" w:sz="0" w:space="0" w:color="auto"/>
                <w:bottom w:val="none" w:sz="0" w:space="0" w:color="auto"/>
                <w:right w:val="none" w:sz="0" w:space="0" w:color="auto"/>
              </w:divBdr>
            </w:div>
            <w:div w:id="756639311">
              <w:marLeft w:val="0"/>
              <w:marRight w:val="0"/>
              <w:marTop w:val="0"/>
              <w:marBottom w:val="0"/>
              <w:divBdr>
                <w:top w:val="none" w:sz="0" w:space="0" w:color="auto"/>
                <w:left w:val="none" w:sz="0" w:space="0" w:color="auto"/>
                <w:bottom w:val="none" w:sz="0" w:space="0" w:color="auto"/>
                <w:right w:val="none" w:sz="0" w:space="0" w:color="auto"/>
              </w:divBdr>
            </w:div>
            <w:div w:id="271863107">
              <w:marLeft w:val="0"/>
              <w:marRight w:val="0"/>
              <w:marTop w:val="0"/>
              <w:marBottom w:val="0"/>
              <w:divBdr>
                <w:top w:val="none" w:sz="0" w:space="0" w:color="auto"/>
                <w:left w:val="none" w:sz="0" w:space="0" w:color="auto"/>
                <w:bottom w:val="none" w:sz="0" w:space="0" w:color="auto"/>
                <w:right w:val="none" w:sz="0" w:space="0" w:color="auto"/>
              </w:divBdr>
            </w:div>
            <w:div w:id="700591058">
              <w:marLeft w:val="0"/>
              <w:marRight w:val="0"/>
              <w:marTop w:val="0"/>
              <w:marBottom w:val="0"/>
              <w:divBdr>
                <w:top w:val="none" w:sz="0" w:space="0" w:color="auto"/>
                <w:left w:val="none" w:sz="0" w:space="0" w:color="auto"/>
                <w:bottom w:val="none" w:sz="0" w:space="0" w:color="auto"/>
                <w:right w:val="none" w:sz="0" w:space="0" w:color="auto"/>
              </w:divBdr>
            </w:div>
            <w:div w:id="975527072">
              <w:marLeft w:val="0"/>
              <w:marRight w:val="0"/>
              <w:marTop w:val="0"/>
              <w:marBottom w:val="0"/>
              <w:divBdr>
                <w:top w:val="none" w:sz="0" w:space="0" w:color="auto"/>
                <w:left w:val="none" w:sz="0" w:space="0" w:color="auto"/>
                <w:bottom w:val="none" w:sz="0" w:space="0" w:color="auto"/>
                <w:right w:val="none" w:sz="0" w:space="0" w:color="auto"/>
              </w:divBdr>
            </w:div>
            <w:div w:id="388842591">
              <w:marLeft w:val="0"/>
              <w:marRight w:val="0"/>
              <w:marTop w:val="0"/>
              <w:marBottom w:val="0"/>
              <w:divBdr>
                <w:top w:val="none" w:sz="0" w:space="0" w:color="auto"/>
                <w:left w:val="none" w:sz="0" w:space="0" w:color="auto"/>
                <w:bottom w:val="none" w:sz="0" w:space="0" w:color="auto"/>
                <w:right w:val="none" w:sz="0" w:space="0" w:color="auto"/>
              </w:divBdr>
            </w:div>
            <w:div w:id="170602949">
              <w:marLeft w:val="0"/>
              <w:marRight w:val="0"/>
              <w:marTop w:val="0"/>
              <w:marBottom w:val="0"/>
              <w:divBdr>
                <w:top w:val="none" w:sz="0" w:space="0" w:color="auto"/>
                <w:left w:val="none" w:sz="0" w:space="0" w:color="auto"/>
                <w:bottom w:val="none" w:sz="0" w:space="0" w:color="auto"/>
                <w:right w:val="none" w:sz="0" w:space="0" w:color="auto"/>
              </w:divBdr>
            </w:div>
            <w:div w:id="2018457225">
              <w:marLeft w:val="0"/>
              <w:marRight w:val="0"/>
              <w:marTop w:val="0"/>
              <w:marBottom w:val="0"/>
              <w:divBdr>
                <w:top w:val="none" w:sz="0" w:space="0" w:color="auto"/>
                <w:left w:val="none" w:sz="0" w:space="0" w:color="auto"/>
                <w:bottom w:val="none" w:sz="0" w:space="0" w:color="auto"/>
                <w:right w:val="none" w:sz="0" w:space="0" w:color="auto"/>
              </w:divBdr>
            </w:div>
            <w:div w:id="1038430315">
              <w:marLeft w:val="0"/>
              <w:marRight w:val="0"/>
              <w:marTop w:val="0"/>
              <w:marBottom w:val="0"/>
              <w:divBdr>
                <w:top w:val="none" w:sz="0" w:space="0" w:color="auto"/>
                <w:left w:val="none" w:sz="0" w:space="0" w:color="auto"/>
                <w:bottom w:val="none" w:sz="0" w:space="0" w:color="auto"/>
                <w:right w:val="none" w:sz="0" w:space="0" w:color="auto"/>
              </w:divBdr>
            </w:div>
            <w:div w:id="437674276">
              <w:marLeft w:val="0"/>
              <w:marRight w:val="0"/>
              <w:marTop w:val="0"/>
              <w:marBottom w:val="0"/>
              <w:divBdr>
                <w:top w:val="none" w:sz="0" w:space="0" w:color="auto"/>
                <w:left w:val="none" w:sz="0" w:space="0" w:color="auto"/>
                <w:bottom w:val="none" w:sz="0" w:space="0" w:color="auto"/>
                <w:right w:val="none" w:sz="0" w:space="0" w:color="auto"/>
              </w:divBdr>
            </w:div>
            <w:div w:id="1268736384">
              <w:marLeft w:val="0"/>
              <w:marRight w:val="0"/>
              <w:marTop w:val="0"/>
              <w:marBottom w:val="0"/>
              <w:divBdr>
                <w:top w:val="none" w:sz="0" w:space="0" w:color="auto"/>
                <w:left w:val="none" w:sz="0" w:space="0" w:color="auto"/>
                <w:bottom w:val="none" w:sz="0" w:space="0" w:color="auto"/>
                <w:right w:val="none" w:sz="0" w:space="0" w:color="auto"/>
              </w:divBdr>
            </w:div>
            <w:div w:id="331762593">
              <w:marLeft w:val="0"/>
              <w:marRight w:val="0"/>
              <w:marTop w:val="0"/>
              <w:marBottom w:val="0"/>
              <w:divBdr>
                <w:top w:val="none" w:sz="0" w:space="0" w:color="auto"/>
                <w:left w:val="none" w:sz="0" w:space="0" w:color="auto"/>
                <w:bottom w:val="none" w:sz="0" w:space="0" w:color="auto"/>
                <w:right w:val="none" w:sz="0" w:space="0" w:color="auto"/>
              </w:divBdr>
            </w:div>
            <w:div w:id="2078236712">
              <w:marLeft w:val="0"/>
              <w:marRight w:val="0"/>
              <w:marTop w:val="0"/>
              <w:marBottom w:val="0"/>
              <w:divBdr>
                <w:top w:val="none" w:sz="0" w:space="0" w:color="auto"/>
                <w:left w:val="none" w:sz="0" w:space="0" w:color="auto"/>
                <w:bottom w:val="none" w:sz="0" w:space="0" w:color="auto"/>
                <w:right w:val="none" w:sz="0" w:space="0" w:color="auto"/>
              </w:divBdr>
            </w:div>
            <w:div w:id="2110276711">
              <w:marLeft w:val="0"/>
              <w:marRight w:val="0"/>
              <w:marTop w:val="0"/>
              <w:marBottom w:val="0"/>
              <w:divBdr>
                <w:top w:val="none" w:sz="0" w:space="0" w:color="auto"/>
                <w:left w:val="none" w:sz="0" w:space="0" w:color="auto"/>
                <w:bottom w:val="none" w:sz="0" w:space="0" w:color="auto"/>
                <w:right w:val="none" w:sz="0" w:space="0" w:color="auto"/>
              </w:divBdr>
            </w:div>
            <w:div w:id="1332638353">
              <w:marLeft w:val="0"/>
              <w:marRight w:val="0"/>
              <w:marTop w:val="0"/>
              <w:marBottom w:val="0"/>
              <w:divBdr>
                <w:top w:val="none" w:sz="0" w:space="0" w:color="auto"/>
                <w:left w:val="none" w:sz="0" w:space="0" w:color="auto"/>
                <w:bottom w:val="none" w:sz="0" w:space="0" w:color="auto"/>
                <w:right w:val="none" w:sz="0" w:space="0" w:color="auto"/>
              </w:divBdr>
            </w:div>
            <w:div w:id="1401559287">
              <w:marLeft w:val="0"/>
              <w:marRight w:val="0"/>
              <w:marTop w:val="0"/>
              <w:marBottom w:val="0"/>
              <w:divBdr>
                <w:top w:val="none" w:sz="0" w:space="0" w:color="auto"/>
                <w:left w:val="none" w:sz="0" w:space="0" w:color="auto"/>
                <w:bottom w:val="none" w:sz="0" w:space="0" w:color="auto"/>
                <w:right w:val="none" w:sz="0" w:space="0" w:color="auto"/>
              </w:divBdr>
            </w:div>
            <w:div w:id="992679697">
              <w:marLeft w:val="0"/>
              <w:marRight w:val="0"/>
              <w:marTop w:val="0"/>
              <w:marBottom w:val="0"/>
              <w:divBdr>
                <w:top w:val="none" w:sz="0" w:space="0" w:color="auto"/>
                <w:left w:val="none" w:sz="0" w:space="0" w:color="auto"/>
                <w:bottom w:val="none" w:sz="0" w:space="0" w:color="auto"/>
                <w:right w:val="none" w:sz="0" w:space="0" w:color="auto"/>
              </w:divBdr>
            </w:div>
            <w:div w:id="1744794092">
              <w:marLeft w:val="0"/>
              <w:marRight w:val="0"/>
              <w:marTop w:val="0"/>
              <w:marBottom w:val="0"/>
              <w:divBdr>
                <w:top w:val="none" w:sz="0" w:space="0" w:color="auto"/>
                <w:left w:val="none" w:sz="0" w:space="0" w:color="auto"/>
                <w:bottom w:val="none" w:sz="0" w:space="0" w:color="auto"/>
                <w:right w:val="none" w:sz="0" w:space="0" w:color="auto"/>
              </w:divBdr>
            </w:div>
            <w:div w:id="33582774">
              <w:marLeft w:val="0"/>
              <w:marRight w:val="0"/>
              <w:marTop w:val="0"/>
              <w:marBottom w:val="0"/>
              <w:divBdr>
                <w:top w:val="none" w:sz="0" w:space="0" w:color="auto"/>
                <w:left w:val="none" w:sz="0" w:space="0" w:color="auto"/>
                <w:bottom w:val="none" w:sz="0" w:space="0" w:color="auto"/>
                <w:right w:val="none" w:sz="0" w:space="0" w:color="auto"/>
              </w:divBdr>
            </w:div>
            <w:div w:id="16701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2018-04-28T02:55:00Z</dcterms:created>
  <dcterms:modified xsi:type="dcterms:W3CDTF">2018-04-28T02:56:00Z</dcterms:modified>
</cp:coreProperties>
</file>