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373A" w14:textId="77777777" w:rsidR="00515443" w:rsidRPr="00515443" w:rsidRDefault="00515443" w:rsidP="00515443">
      <w:pPr>
        <w:widowControl/>
        <w:spacing w:before="75" w:after="150" w:line="405" w:lineRule="atLeast"/>
        <w:jc w:val="center"/>
        <w:outlineLvl w:val="2"/>
        <w:rPr>
          <w:rFonts w:ascii="微软雅黑" w:eastAsia="微软雅黑" w:hAnsi="微软雅黑" w:cs="宋体"/>
          <w:color w:val="555555"/>
          <w:kern w:val="0"/>
          <w:sz w:val="30"/>
          <w:szCs w:val="30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30"/>
          <w:szCs w:val="30"/>
        </w:rPr>
        <w:t>西安市人民政府办公厅关于印发促进光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30"/>
          <w:szCs w:val="30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30"/>
          <w:szCs w:val="30"/>
        </w:rPr>
        <w:t>持续健康发展实施意见的通知</w:t>
      </w:r>
    </w:p>
    <w:p w14:paraId="75AA8904" w14:textId="77777777" w:rsidR="00515443" w:rsidRPr="00515443" w:rsidRDefault="00515443" w:rsidP="00515443">
      <w:pPr>
        <w:widowControl/>
        <w:shd w:val="clear" w:color="auto" w:fill="FEFFFA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443">
        <w:rPr>
          <w:rFonts w:ascii="宋体" w:eastAsia="宋体" w:hAnsi="宋体" w:cs="宋体"/>
          <w:kern w:val="0"/>
          <w:sz w:val="24"/>
          <w:szCs w:val="24"/>
        </w:rPr>
        <w:pict w14:anchorId="2CD0FB3E">
          <v:rect id="_x0000_i1025" style="width:0;height:0" o:hralign="center" o:hrstd="t" o:hr="t" fillcolor="#a0a0a0" stroked="f"/>
        </w:pict>
      </w:r>
    </w:p>
    <w:tbl>
      <w:tblPr>
        <w:tblW w:w="16050" w:type="dxa"/>
        <w:tblBorders>
          <w:top w:val="single" w:sz="6" w:space="0" w:color="DFDFDF"/>
          <w:bottom w:val="single" w:sz="6" w:space="0" w:color="DFDF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418"/>
        <w:gridCol w:w="2417"/>
        <w:gridCol w:w="4804"/>
        <w:gridCol w:w="2402"/>
        <w:gridCol w:w="1591"/>
      </w:tblGrid>
      <w:tr w:rsidR="00515443" w:rsidRPr="00515443" w14:paraId="25BA1F33" w14:textId="77777777" w:rsidTr="00515443">
        <w:trPr>
          <w:trHeight w:val="525"/>
        </w:trPr>
        <w:tc>
          <w:tcPr>
            <w:tcW w:w="2415" w:type="dxa"/>
            <w:tcBorders>
              <w:left w:val="single" w:sz="6" w:space="0" w:color="DFDFDF"/>
            </w:tcBorders>
            <w:shd w:val="clear" w:color="auto" w:fill="F5F5F5"/>
            <w:vAlign w:val="center"/>
            <w:hideMark/>
          </w:tcPr>
          <w:p w14:paraId="2A5757FD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发文机关：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3D7505C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市政府办公厅</w:t>
            </w:r>
          </w:p>
        </w:tc>
        <w:tc>
          <w:tcPr>
            <w:tcW w:w="2415" w:type="dxa"/>
            <w:shd w:val="clear" w:color="auto" w:fill="F5F5F5"/>
            <w:vAlign w:val="center"/>
            <w:hideMark/>
          </w:tcPr>
          <w:p w14:paraId="2632D641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发文字号：</w:t>
            </w:r>
          </w:p>
        </w:tc>
        <w:tc>
          <w:tcPr>
            <w:tcW w:w="4800" w:type="dxa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75246C5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市政办发〔2018〕32号</w:t>
            </w:r>
          </w:p>
        </w:tc>
        <w:tc>
          <w:tcPr>
            <w:tcW w:w="2400" w:type="dxa"/>
            <w:shd w:val="clear" w:color="auto" w:fill="F5F5F5"/>
            <w:vAlign w:val="center"/>
            <w:hideMark/>
          </w:tcPr>
          <w:p w14:paraId="7A71AE28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公开属性：</w:t>
            </w:r>
          </w:p>
        </w:tc>
        <w:tc>
          <w:tcPr>
            <w:tcW w:w="1590" w:type="dxa"/>
            <w:tcBorders>
              <w:right w:val="single" w:sz="6" w:space="0" w:color="DFDFDF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333661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主动公开</w:t>
            </w:r>
          </w:p>
        </w:tc>
      </w:tr>
      <w:tr w:rsidR="00515443" w:rsidRPr="00515443" w14:paraId="7039BB49" w14:textId="77777777" w:rsidTr="00515443">
        <w:trPr>
          <w:trHeight w:val="525"/>
        </w:trPr>
        <w:tc>
          <w:tcPr>
            <w:tcW w:w="2415" w:type="dxa"/>
            <w:tcBorders>
              <w:top w:val="single" w:sz="6" w:space="0" w:color="DFDFDF"/>
              <w:left w:val="single" w:sz="6" w:space="0" w:color="DFDFDF"/>
            </w:tcBorders>
            <w:shd w:val="clear" w:color="auto" w:fill="F5F5F5"/>
            <w:vAlign w:val="center"/>
            <w:hideMark/>
          </w:tcPr>
          <w:p w14:paraId="704BBA05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成文时间：</w:t>
            </w:r>
          </w:p>
        </w:tc>
        <w:tc>
          <w:tcPr>
            <w:tcW w:w="2415" w:type="dxa"/>
            <w:tcBorders>
              <w:top w:val="single" w:sz="6" w:space="0" w:color="DFDFDF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42C517F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2018-04-17 17:27</w:t>
            </w:r>
          </w:p>
        </w:tc>
        <w:tc>
          <w:tcPr>
            <w:tcW w:w="2415" w:type="dxa"/>
            <w:tcBorders>
              <w:top w:val="single" w:sz="6" w:space="0" w:color="DFDFDF"/>
            </w:tcBorders>
            <w:shd w:val="clear" w:color="auto" w:fill="F5F5F5"/>
            <w:vAlign w:val="center"/>
            <w:hideMark/>
          </w:tcPr>
          <w:p w14:paraId="533F3C65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发布时间：</w:t>
            </w:r>
          </w:p>
        </w:tc>
        <w:tc>
          <w:tcPr>
            <w:tcW w:w="4800" w:type="dxa"/>
            <w:tcBorders>
              <w:top w:val="single" w:sz="6" w:space="0" w:color="DFDFDF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BFCBE91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2018-04-17 17:27</w:t>
            </w:r>
          </w:p>
        </w:tc>
        <w:tc>
          <w:tcPr>
            <w:tcW w:w="2400" w:type="dxa"/>
            <w:tcBorders>
              <w:top w:val="single" w:sz="6" w:space="0" w:color="DFDFDF"/>
            </w:tcBorders>
            <w:shd w:val="clear" w:color="auto" w:fill="F5F5F5"/>
            <w:vAlign w:val="center"/>
            <w:hideMark/>
          </w:tcPr>
          <w:p w14:paraId="6A278C47" w14:textId="77777777" w:rsidR="00515443" w:rsidRPr="00515443" w:rsidRDefault="00515443" w:rsidP="005154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 有效性：</w:t>
            </w:r>
          </w:p>
        </w:tc>
        <w:tc>
          <w:tcPr>
            <w:tcW w:w="1590" w:type="dxa"/>
            <w:tcBorders>
              <w:top w:val="single" w:sz="6" w:space="0" w:color="DFDFDF"/>
              <w:right w:val="single" w:sz="6" w:space="0" w:color="DFDFDF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A3D6433" w14:textId="77777777" w:rsidR="00515443" w:rsidRPr="00515443" w:rsidRDefault="00515443" w:rsidP="005154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443">
              <w:rPr>
                <w:rFonts w:ascii="宋体" w:eastAsia="宋体" w:hAnsi="宋体" w:cs="宋体"/>
                <w:kern w:val="0"/>
                <w:sz w:val="24"/>
                <w:szCs w:val="24"/>
              </w:rPr>
              <w:t>有效</w:t>
            </w:r>
          </w:p>
        </w:tc>
      </w:tr>
    </w:tbl>
    <w:p w14:paraId="71D2D9A6" w14:textId="77777777" w:rsidR="00515443" w:rsidRPr="00515443" w:rsidRDefault="00515443" w:rsidP="00515443">
      <w:pPr>
        <w:widowControl/>
        <w:shd w:val="clear" w:color="auto" w:fill="FFFFFF"/>
        <w:spacing w:after="150" w:line="480" w:lineRule="auto"/>
        <w:ind w:left="825" w:right="825"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各区、县人民政府，市人民政府各工作部门、各直属机构：</w:t>
      </w:r>
    </w:p>
    <w:p w14:paraId="40F4B881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《关于促进光伏产业持续健康发展的实施意见》已经市政府同意，现印发给你们，请结合实际认真贯彻落实。</w:t>
      </w:r>
    </w:p>
    <w:p w14:paraId="075708CE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righ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西安市人民政府办公厅</w:t>
      </w:r>
    </w:p>
    <w:p w14:paraId="30F97571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righ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2018年4月14日</w:t>
      </w:r>
    </w:p>
    <w:p w14:paraId="6D1B4923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center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关于促进光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持续健康发展的实施意见</w:t>
      </w:r>
    </w:p>
    <w:p w14:paraId="4AD1C2CB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为进一步促进我市光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持续健康发展，根据《国务院关于促进光伏产业健康发展的若干意见》(国发〔2013〕24号)等政策规定，结合我市实际，制定本实施意见。</w:t>
      </w:r>
    </w:p>
    <w:p w14:paraId="6C2AC1FB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一、发展思路和目标</w:t>
      </w:r>
    </w:p>
    <w:p w14:paraId="3F60AB07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一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)发展思路。坚持“创新、协调、绿色、开放、共享”的发展理念，创新体制机制，完善支持政策，通过市场机制激发市场有效需求;加快技术进步，着力提高光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的质量和效益;培育光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龙头企业，延伸光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链条，打造光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</w:t>
      </w: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>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集群，提升产业竞争力，为我市经济社会发展、促进节能减排、推进“治污减霾”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作出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积极贡献。</w:t>
      </w:r>
    </w:p>
    <w:p w14:paraId="7A8DF44C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(二)发展目标。到2020年，我市光伏电站装机容量达到300兆瓦以上，光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产值力争突破650亿元，形成一批在国内外具有创新活力和竞争优势的光伏企业，将我市打造成为全国重要的光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研发、制造和应用高地。</w:t>
      </w:r>
    </w:p>
    <w:p w14:paraId="32E1EFC3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二、促进光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发展</w:t>
      </w:r>
    </w:p>
    <w:p w14:paraId="20B7D1E6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(三)鼓励光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加快发展。对在我市注册的光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当年国内销售电池片或组件(不重复计算)、蓄能电池首次达到500兆瓦(兆瓦时)，或国内销售逆变器首次达到1000兆瓦的生产企业，给予50万元一次性补贴，销量每增加1兆瓦(兆瓦时)再给予5000元(逆变器给予2000元)补贴，同一企业年度补贴额最高不超过100万元。(责任单位：市工信委、市财政局)</w:t>
      </w:r>
    </w:p>
    <w:p w14:paraId="46FC3806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(四)推动光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合作发展。鼓励光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兼并重组，推动产业链相关企业间的生产协作配套。对实施兼并重组的光伏企业，优先纳入市级各类产业基金支持范围。支持我市光伏上下游生产企业通过采购地产品、协作配套等措施降低成本、提高效益。按照年新增地产品配套采购额的0.5%给予采购单位一次性奖励，奖励金额不超过200万元。(责任单位：市工信委、市财政局)</w:t>
      </w:r>
    </w:p>
    <w:p w14:paraId="54FE255B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 xml:space="preserve">　　(五)鼓励光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技术创新。支持光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争创国家工程研究中心、国家工程技术研究中心，争创成功当年一次性奖励企业80万元。对获得国家级、省级、市级企业技术中心的企业，分别一次性给予80万元、50万元、30万元奖励。对被认定为国家级、省级技术创新示范企业的，分别给予80万元、50万元一次性奖励。对获得国家级、省级制造业创新中心的企业采取“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一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企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一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策”的办法予以奖励。(责任单位：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、市科技局、市工信委、市财政局)</w:t>
      </w:r>
    </w:p>
    <w:p w14:paraId="34EBF278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(六)鼓励光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技术改造。积极引进光伏项目，延长光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链条，鼓励企业技术改造。对我市光伏企业，新增固定资产投入达到1000万元以上的技术改造项目，按设备投资额的10%给予补助：固定资产投入达到1000万元(含1000万元)—2亿元的，补助最高不超过200万元;固定资产投入达到2亿元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以上—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10亿元的，补助最高不超过300万元;固定资产投入达到10亿元以上(含10亿元)的，补助最高不超过500万元。(责任单位：市工信委、市财政局)</w:t>
      </w:r>
    </w:p>
    <w:p w14:paraId="5AC1BA56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(七)鼓励光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成果转化。鼓励我市光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吸纳高校院所科技成果就地转化。对企业申报的在我市实施转化的项目，经评审认定其经济效益明显的，择优按项目投入的10%，给予最高200万元补助;对投入超过3000万元，且为我市优结构、促转型做出突出贡献的重大成果转化项目，可按“一事一议”原则，加大补助力度。(责任单位：市科技局、市财政局)</w:t>
      </w:r>
    </w:p>
    <w:p w14:paraId="55165FCA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 xml:space="preserve">　　(八)促进光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转型发展。积极引导和支持企业落实国家光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伏制造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行业规范条件，鼓励企业实施光伏“领跑者”先进技术标准，加速淘汰落后技术，不断提高企业竞争力，促进产业转型升级。我市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新建光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伏发电项目使用的组件必须达到国家“领跑者”先进技术标准要求。对企业符合《光伏制造行业规范条件》且新进入国家工信部公告的，给予50万元一次性奖励。(责任单位：市工信委、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、市财政局)</w:t>
      </w:r>
    </w:p>
    <w:p w14:paraId="5665AD76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(九)培育光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龙头企业。加快培育一批国际竞争力强、市场影响力大、品牌知名度高的光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龙头企业。对年工业总产值首次突破500亿元的光伏企业，给予500万元奖励;首次突破200亿元的，给予300万元奖励;首次突破100亿元的，给予200万元奖励;首次突破50亿元的，给予100万元奖励;首次突破10亿元、20亿元、30亿元的分别给予20万元、30万元、50万元奖励。(责任单位：市工信委、市财政局)</w:t>
      </w:r>
    </w:p>
    <w:p w14:paraId="15BC62FC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(十)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完善光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伏发电补贴政策。对在我市注册的光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或个人利用住宅(或个人所有的营业性建筑)在本市新建的分布式光伏发电项目，全部使用市内企业生产的组件，且组件转换效率达到光伏“领跑者”先进技术标准，电站建设质量符合国家、行业或地方标准的，按照并网时间和发电量给予发电补贴。对2018年1月1日至2020年12月31日期间并网的分布式发电项目，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自项目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并网次月起，给予投资人0.25元/度补贴，补贴执行期限5年。(责任单位：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、市财政局)</w:t>
      </w:r>
    </w:p>
    <w:p w14:paraId="772E0C39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 xml:space="preserve">　　(十一)实施分布式光伏屋顶工程。鼓励新建建筑规划、设计屋顶光伏发电系统，切实做好公共建筑屋顶光伏推广应用工作。对装机规模超过1兆瓦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且建成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并网的屋顶光伏电站项目，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按装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机容量给予屋顶产权人10万元/兆瓦一次性奖励，单个项目、同一屋顶产权人奖励不超过100万元。(责任单位：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、市规划局、市建委、市财政局)</w:t>
      </w:r>
    </w:p>
    <w:p w14:paraId="3C97ED21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(十二)大力引进光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总部。积极引进光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总部落户我市，对新引进、新设立的光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总部，按照《西安市支持总部企业发展若干政策》有关规定予以奖励。(责任单位：市投资委、市财政局、市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工信委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)</w:t>
      </w:r>
    </w:p>
    <w:p w14:paraId="2B70DFBC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(十三)加快光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人才队伍建设。贯彻落实《西安市深化人才发展体制机制改革打造“一带一路”人才高地若干政策措施》，多层次、多渠道、多方式引进和培养光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伏产业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所需高端人才，对在我市创办光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伏企业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或开展成果产业化活动的A类、B类、C类人才，分别给予一次性500万元、300万元、100万元的项目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配套奖补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。(责任单位：市人才办、市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人社局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)</w:t>
      </w:r>
    </w:p>
    <w:p w14:paraId="2443F37C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(十四)积极探索光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伏扶贫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新模式。健全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完善光伏扶贫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机制，鼓励多渠道筹措资金建设光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伏扶贫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电站，开展光伏扶贫。建立光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伏扶贫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电站收入科学分配和有效监管制度，做好光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伏扶贫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电站后期运行维护。(责任单位：市扶贫办、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)</w:t>
      </w:r>
    </w:p>
    <w:p w14:paraId="5DE09AC3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 xml:space="preserve">　　(十五)强化政策落实。积极争取国家、省相关政策支持。发改、电力等部门要简化工作流程，在并网申请、备案核准、调试验收、电价结算等环节，实行“一站式”服务。引入第三方审核机制，规范资金兑现流程。对弄虚作假、骗取光伏补贴奖励资金的予以追回，失信信息列入社会信用信息共享平台并予以公布;情节严重的，追究相关单位和人员法律责任。(责任单位：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市发改委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、市财政局、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国网西安供电公司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国网西咸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新区供电公司、地电西安供电分公司、市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工信委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)</w:t>
      </w:r>
    </w:p>
    <w:p w14:paraId="0C9E05F5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三、附则</w:t>
      </w:r>
    </w:p>
    <w:p w14:paraId="255736B0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(十六)本实施意见第10条、第11条涉及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的奖补资金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，由市财政与区县、开发区按现行财政体制分级负担，市财政统一拨付，区县、开发区应负担部分年终结算，市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财政奖补资金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从市工业发展专项资金中列支。</w:t>
      </w:r>
    </w:p>
    <w:p w14:paraId="1DD9B7A2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(十七)本意见有关政策与市其他财政政策采取从高不重复原则享受。</w:t>
      </w:r>
    </w:p>
    <w:p w14:paraId="44669672" w14:textId="77777777" w:rsidR="00515443" w:rsidRPr="00515443" w:rsidRDefault="00515443" w:rsidP="00515443">
      <w:pPr>
        <w:widowControl/>
        <w:shd w:val="clear" w:color="auto" w:fill="FFFFFF"/>
        <w:spacing w:before="150" w:after="150" w:line="480" w:lineRule="auto"/>
        <w:ind w:left="825" w:right="825" w:firstLine="48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　　(十八)</w:t>
      </w:r>
      <w:proofErr w:type="gramStart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本意见自2018年1月1日起</w:t>
      </w:r>
      <w:proofErr w:type="gramEnd"/>
      <w:r w:rsidRPr="0051544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执行，有效期3年。</w:t>
      </w:r>
    </w:p>
    <w:p w14:paraId="26C1B1C5" w14:textId="77777777" w:rsidR="000F1DA6" w:rsidRPr="00515443" w:rsidRDefault="000F1DA6">
      <w:bookmarkStart w:id="0" w:name="_GoBack"/>
      <w:bookmarkEnd w:id="0"/>
    </w:p>
    <w:sectPr w:rsidR="000F1DA6" w:rsidRPr="0051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292C" w14:textId="77777777" w:rsidR="00077F9F" w:rsidRDefault="00077F9F" w:rsidP="00515443">
      <w:r>
        <w:separator/>
      </w:r>
    </w:p>
  </w:endnote>
  <w:endnote w:type="continuationSeparator" w:id="0">
    <w:p w14:paraId="499928D2" w14:textId="77777777" w:rsidR="00077F9F" w:rsidRDefault="00077F9F" w:rsidP="005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494F" w14:textId="77777777" w:rsidR="00077F9F" w:rsidRDefault="00077F9F" w:rsidP="00515443">
      <w:r>
        <w:separator/>
      </w:r>
    </w:p>
  </w:footnote>
  <w:footnote w:type="continuationSeparator" w:id="0">
    <w:p w14:paraId="145FE0FE" w14:textId="77777777" w:rsidR="00077F9F" w:rsidRDefault="00077F9F" w:rsidP="0051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42"/>
    <w:rsid w:val="00077F9F"/>
    <w:rsid w:val="000F1DA6"/>
    <w:rsid w:val="00515443"/>
    <w:rsid w:val="00C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300B54-09B7-4D44-8B5A-41CCFF1F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1544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4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44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15443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5154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31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109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2018-12-21T09:19:00Z</dcterms:created>
  <dcterms:modified xsi:type="dcterms:W3CDTF">2018-12-21T09:19:00Z</dcterms:modified>
</cp:coreProperties>
</file>