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98C" w:rsidRPr="0095598C" w:rsidRDefault="0095598C" w:rsidP="0095598C">
      <w:pPr>
        <w:widowControl/>
        <w:spacing w:line="420" w:lineRule="atLeast"/>
        <w:jc w:val="left"/>
        <w:outlineLvl w:val="1"/>
        <w:rPr>
          <w:rFonts w:ascii="宋体" w:eastAsia="宋体" w:hAnsi="宋体" w:cs="宋体"/>
          <w:kern w:val="0"/>
          <w:sz w:val="27"/>
          <w:szCs w:val="27"/>
        </w:rPr>
      </w:pPr>
      <w:bookmarkStart w:id="0" w:name="_GoBack"/>
      <w:r w:rsidRPr="0095598C">
        <w:rPr>
          <w:rFonts w:ascii="宋体" w:eastAsia="宋体" w:hAnsi="宋体" w:cs="宋体" w:hint="eastAsia"/>
          <w:kern w:val="0"/>
          <w:sz w:val="27"/>
          <w:szCs w:val="27"/>
        </w:rPr>
        <w:t>市人民政府办公室关于印发咸宁市金融机构支持经济社会发展考核办法的通知</w:t>
      </w:r>
    </w:p>
    <w:bookmarkEnd w:id="0"/>
    <w:p w:rsidR="0095598C" w:rsidRPr="0095598C" w:rsidRDefault="0095598C" w:rsidP="0095598C">
      <w:pPr>
        <w:widowControl/>
        <w:spacing w:line="600" w:lineRule="atLeast"/>
        <w:jc w:val="center"/>
        <w:rPr>
          <w:rFonts w:ascii="microsoft yahei" w:eastAsia="宋体" w:hAnsi="microsoft yahei" w:cs="宋体" w:hint="eastAsia"/>
          <w:kern w:val="0"/>
          <w:sz w:val="27"/>
          <w:szCs w:val="27"/>
        </w:rPr>
      </w:pPr>
      <w:r w:rsidRPr="0095598C">
        <w:rPr>
          <w:rFonts w:ascii="microsoft yahei" w:eastAsia="宋体" w:hAnsi="microsoft yahei" w:cs="宋体"/>
          <w:kern w:val="0"/>
          <w:sz w:val="27"/>
          <w:szCs w:val="27"/>
        </w:rPr>
        <w:t xml:space="preserve">　　咸政办发〔</w:t>
      </w:r>
      <w:r w:rsidRPr="0095598C">
        <w:rPr>
          <w:rFonts w:ascii="microsoft yahei" w:eastAsia="宋体" w:hAnsi="microsoft yahei" w:cs="宋体"/>
          <w:kern w:val="0"/>
          <w:sz w:val="27"/>
          <w:szCs w:val="27"/>
        </w:rPr>
        <w:t>2017</w:t>
      </w:r>
      <w:r w:rsidRPr="0095598C">
        <w:rPr>
          <w:rFonts w:ascii="microsoft yahei" w:eastAsia="宋体" w:hAnsi="microsoft yahei" w:cs="宋体"/>
          <w:kern w:val="0"/>
          <w:sz w:val="27"/>
          <w:szCs w:val="27"/>
        </w:rPr>
        <w:t>〕</w:t>
      </w:r>
      <w:r w:rsidRPr="0095598C">
        <w:rPr>
          <w:rFonts w:ascii="microsoft yahei" w:eastAsia="宋体" w:hAnsi="microsoft yahei" w:cs="宋体"/>
          <w:kern w:val="0"/>
          <w:sz w:val="27"/>
          <w:szCs w:val="27"/>
        </w:rPr>
        <w:t>32</w:t>
      </w:r>
      <w:r w:rsidRPr="0095598C">
        <w:rPr>
          <w:rFonts w:ascii="microsoft yahei" w:eastAsia="宋体" w:hAnsi="microsoft yahei" w:cs="宋体"/>
          <w:kern w:val="0"/>
          <w:sz w:val="27"/>
          <w:szCs w:val="27"/>
        </w:rPr>
        <w:t>号</w:t>
      </w:r>
    </w:p>
    <w:p w:rsidR="0095598C" w:rsidRPr="0095598C" w:rsidRDefault="0095598C" w:rsidP="0095598C">
      <w:pPr>
        <w:widowControl/>
        <w:spacing w:line="600" w:lineRule="atLeast"/>
        <w:jc w:val="left"/>
        <w:rPr>
          <w:rFonts w:ascii="microsoft yahei" w:eastAsia="宋体" w:hAnsi="microsoft yahei" w:cs="宋体"/>
          <w:kern w:val="0"/>
          <w:sz w:val="27"/>
          <w:szCs w:val="27"/>
        </w:rPr>
      </w:pPr>
      <w:r w:rsidRPr="0095598C">
        <w:rPr>
          <w:rFonts w:ascii="microsoft yahei" w:eastAsia="宋体" w:hAnsi="microsoft yahei" w:cs="宋体"/>
          <w:kern w:val="0"/>
          <w:sz w:val="27"/>
          <w:szCs w:val="27"/>
        </w:rPr>
        <w:t xml:space="preserve">　　各县、市、区人民政府，市政府相关部门，咸宁高新区管委会：</w:t>
      </w:r>
    </w:p>
    <w:p w:rsidR="0095598C" w:rsidRPr="0095598C" w:rsidRDefault="0095598C" w:rsidP="0095598C">
      <w:pPr>
        <w:widowControl/>
        <w:spacing w:line="600" w:lineRule="atLeast"/>
        <w:jc w:val="left"/>
        <w:rPr>
          <w:rFonts w:ascii="microsoft yahei" w:eastAsia="宋体" w:hAnsi="microsoft yahei" w:cs="宋体"/>
          <w:kern w:val="0"/>
          <w:sz w:val="27"/>
          <w:szCs w:val="27"/>
        </w:rPr>
      </w:pPr>
      <w:r w:rsidRPr="0095598C">
        <w:rPr>
          <w:rFonts w:ascii="microsoft yahei" w:eastAsia="宋体" w:hAnsi="microsoft yahei" w:cs="宋体"/>
          <w:kern w:val="0"/>
          <w:sz w:val="27"/>
          <w:szCs w:val="27"/>
        </w:rPr>
        <w:t xml:space="preserve">　　《咸宁市金融机构支持经济社会发展考核办法》已经市人民政府同意，现印发给你们，请认真贯彻执行。</w:t>
      </w:r>
    </w:p>
    <w:p w:rsidR="0095598C" w:rsidRPr="0095598C" w:rsidRDefault="0095598C" w:rsidP="0095598C">
      <w:pPr>
        <w:widowControl/>
        <w:spacing w:line="600" w:lineRule="atLeast"/>
        <w:jc w:val="right"/>
        <w:rPr>
          <w:rFonts w:ascii="microsoft yahei" w:eastAsia="宋体" w:hAnsi="microsoft yahei" w:cs="宋体"/>
          <w:kern w:val="0"/>
          <w:sz w:val="27"/>
          <w:szCs w:val="27"/>
        </w:rPr>
      </w:pPr>
      <w:r w:rsidRPr="0095598C">
        <w:rPr>
          <w:rFonts w:ascii="microsoft yahei" w:eastAsia="宋体" w:hAnsi="microsoft yahei" w:cs="宋体"/>
          <w:kern w:val="0"/>
          <w:sz w:val="27"/>
          <w:szCs w:val="27"/>
        </w:rPr>
        <w:t xml:space="preserve">　　咸宁市人民政府办公室</w:t>
      </w:r>
    </w:p>
    <w:p w:rsidR="0095598C" w:rsidRPr="0095598C" w:rsidRDefault="0095598C" w:rsidP="0095598C">
      <w:pPr>
        <w:widowControl/>
        <w:spacing w:line="600" w:lineRule="atLeast"/>
        <w:jc w:val="right"/>
        <w:rPr>
          <w:rFonts w:ascii="microsoft yahei" w:eastAsia="宋体" w:hAnsi="microsoft yahei" w:cs="宋体"/>
          <w:kern w:val="0"/>
          <w:sz w:val="27"/>
          <w:szCs w:val="27"/>
        </w:rPr>
      </w:pPr>
      <w:r w:rsidRPr="0095598C">
        <w:rPr>
          <w:rFonts w:ascii="microsoft yahei" w:eastAsia="宋体" w:hAnsi="microsoft yahei" w:cs="宋体"/>
          <w:kern w:val="0"/>
          <w:sz w:val="27"/>
          <w:szCs w:val="27"/>
        </w:rPr>
        <w:t xml:space="preserve">　　</w:t>
      </w:r>
      <w:r w:rsidRPr="0095598C">
        <w:rPr>
          <w:rFonts w:ascii="microsoft yahei" w:eastAsia="宋体" w:hAnsi="microsoft yahei" w:cs="宋体"/>
          <w:kern w:val="0"/>
          <w:sz w:val="27"/>
          <w:szCs w:val="27"/>
        </w:rPr>
        <w:t>2017</w:t>
      </w:r>
      <w:r w:rsidRPr="0095598C">
        <w:rPr>
          <w:rFonts w:ascii="microsoft yahei" w:eastAsia="宋体" w:hAnsi="microsoft yahei" w:cs="宋体"/>
          <w:kern w:val="0"/>
          <w:sz w:val="27"/>
          <w:szCs w:val="27"/>
        </w:rPr>
        <w:t>年</w:t>
      </w:r>
      <w:r w:rsidRPr="0095598C">
        <w:rPr>
          <w:rFonts w:ascii="microsoft yahei" w:eastAsia="宋体" w:hAnsi="microsoft yahei" w:cs="宋体"/>
          <w:kern w:val="0"/>
          <w:sz w:val="27"/>
          <w:szCs w:val="27"/>
        </w:rPr>
        <w:t>6</w:t>
      </w:r>
      <w:r w:rsidRPr="0095598C">
        <w:rPr>
          <w:rFonts w:ascii="microsoft yahei" w:eastAsia="宋体" w:hAnsi="microsoft yahei" w:cs="宋体"/>
          <w:kern w:val="0"/>
          <w:sz w:val="27"/>
          <w:szCs w:val="27"/>
        </w:rPr>
        <w:t>月</w:t>
      </w:r>
      <w:r w:rsidRPr="0095598C">
        <w:rPr>
          <w:rFonts w:ascii="microsoft yahei" w:eastAsia="宋体" w:hAnsi="microsoft yahei" w:cs="宋体"/>
          <w:kern w:val="0"/>
          <w:sz w:val="27"/>
          <w:szCs w:val="27"/>
        </w:rPr>
        <w:t>26</w:t>
      </w:r>
      <w:r w:rsidRPr="0095598C">
        <w:rPr>
          <w:rFonts w:ascii="microsoft yahei" w:eastAsia="宋体" w:hAnsi="microsoft yahei" w:cs="宋体"/>
          <w:kern w:val="0"/>
          <w:sz w:val="27"/>
          <w:szCs w:val="27"/>
        </w:rPr>
        <w:t>日</w:t>
      </w:r>
    </w:p>
    <w:p w:rsidR="0095598C" w:rsidRPr="0095598C" w:rsidRDefault="0095598C" w:rsidP="0095598C">
      <w:pPr>
        <w:widowControl/>
        <w:spacing w:line="600" w:lineRule="atLeast"/>
        <w:jc w:val="left"/>
        <w:rPr>
          <w:rFonts w:ascii="microsoft yahei" w:eastAsia="宋体" w:hAnsi="microsoft yahei" w:cs="宋体"/>
          <w:kern w:val="0"/>
          <w:sz w:val="27"/>
          <w:szCs w:val="27"/>
        </w:rPr>
      </w:pPr>
      <w:r w:rsidRPr="0095598C">
        <w:rPr>
          <w:rFonts w:ascii="microsoft yahei" w:eastAsia="宋体" w:hAnsi="microsoft yahei" w:cs="宋体"/>
          <w:kern w:val="0"/>
          <w:sz w:val="27"/>
          <w:szCs w:val="27"/>
        </w:rPr>
        <w:t xml:space="preserve">　　（此件依申请公开）</w:t>
      </w:r>
    </w:p>
    <w:p w:rsidR="0095598C" w:rsidRPr="0095598C" w:rsidRDefault="0095598C" w:rsidP="0095598C">
      <w:pPr>
        <w:widowControl/>
        <w:spacing w:line="600" w:lineRule="atLeast"/>
        <w:jc w:val="left"/>
        <w:rPr>
          <w:rFonts w:ascii="microsoft yahei" w:eastAsia="宋体" w:hAnsi="microsoft yahei" w:cs="宋体"/>
          <w:kern w:val="0"/>
          <w:sz w:val="27"/>
          <w:szCs w:val="27"/>
        </w:rPr>
      </w:pPr>
      <w:r w:rsidRPr="0095598C">
        <w:rPr>
          <w:rFonts w:ascii="microsoft yahei" w:eastAsia="宋体" w:hAnsi="microsoft yahei" w:cs="宋体"/>
          <w:kern w:val="0"/>
          <w:sz w:val="27"/>
          <w:szCs w:val="27"/>
        </w:rPr>
        <w:t xml:space="preserve">　　咸宁市金融机构支持经济社会发展考核办法</w:t>
      </w:r>
    </w:p>
    <w:p w:rsidR="0095598C" w:rsidRPr="0095598C" w:rsidRDefault="0095598C" w:rsidP="0095598C">
      <w:pPr>
        <w:widowControl/>
        <w:spacing w:line="600" w:lineRule="atLeast"/>
        <w:jc w:val="left"/>
        <w:rPr>
          <w:rFonts w:ascii="microsoft yahei" w:eastAsia="宋体" w:hAnsi="microsoft yahei" w:cs="宋体"/>
          <w:kern w:val="0"/>
          <w:sz w:val="27"/>
          <w:szCs w:val="27"/>
        </w:rPr>
      </w:pPr>
      <w:r w:rsidRPr="0095598C">
        <w:rPr>
          <w:rFonts w:ascii="microsoft yahei" w:eastAsia="宋体" w:hAnsi="microsoft yahei" w:cs="宋体"/>
          <w:kern w:val="0"/>
          <w:sz w:val="27"/>
          <w:szCs w:val="27"/>
        </w:rPr>
        <w:t xml:space="preserve">　　为深入实施</w:t>
      </w:r>
      <w:r w:rsidRPr="0095598C">
        <w:rPr>
          <w:rFonts w:ascii="microsoft yahei" w:eastAsia="宋体" w:hAnsi="microsoft yahei" w:cs="宋体"/>
          <w:kern w:val="0"/>
          <w:sz w:val="27"/>
          <w:szCs w:val="27"/>
        </w:rPr>
        <w:t>“</w:t>
      </w:r>
      <w:r w:rsidRPr="0095598C">
        <w:rPr>
          <w:rFonts w:ascii="microsoft yahei" w:eastAsia="宋体" w:hAnsi="microsoft yahei" w:cs="宋体"/>
          <w:kern w:val="0"/>
          <w:sz w:val="27"/>
          <w:szCs w:val="27"/>
        </w:rPr>
        <w:t>金融领先</w:t>
      </w:r>
      <w:r w:rsidRPr="0095598C">
        <w:rPr>
          <w:rFonts w:ascii="microsoft yahei" w:eastAsia="宋体" w:hAnsi="microsoft yahei" w:cs="宋体"/>
          <w:kern w:val="0"/>
          <w:sz w:val="27"/>
          <w:szCs w:val="27"/>
        </w:rPr>
        <w:t>”</w:t>
      </w:r>
      <w:r w:rsidRPr="0095598C">
        <w:rPr>
          <w:rFonts w:ascii="microsoft yahei" w:eastAsia="宋体" w:hAnsi="microsoft yahei" w:cs="宋体"/>
          <w:kern w:val="0"/>
          <w:sz w:val="27"/>
          <w:szCs w:val="27"/>
        </w:rPr>
        <w:t>战略，鼓励金融机构围绕</w:t>
      </w:r>
      <w:r w:rsidRPr="0095598C">
        <w:rPr>
          <w:rFonts w:ascii="microsoft yahei" w:eastAsia="宋体" w:hAnsi="microsoft yahei" w:cs="宋体"/>
          <w:kern w:val="0"/>
          <w:sz w:val="27"/>
          <w:szCs w:val="27"/>
        </w:rPr>
        <w:t>“</w:t>
      </w:r>
      <w:r w:rsidRPr="0095598C">
        <w:rPr>
          <w:rFonts w:ascii="microsoft yahei" w:eastAsia="宋体" w:hAnsi="microsoft yahei" w:cs="宋体"/>
          <w:kern w:val="0"/>
          <w:sz w:val="27"/>
          <w:szCs w:val="27"/>
        </w:rPr>
        <w:t>三抓</w:t>
      </w:r>
      <w:proofErr w:type="gramStart"/>
      <w:r w:rsidRPr="0095598C">
        <w:rPr>
          <w:rFonts w:ascii="microsoft yahei" w:eastAsia="宋体" w:hAnsi="microsoft yahei" w:cs="宋体"/>
          <w:kern w:val="0"/>
          <w:sz w:val="27"/>
          <w:szCs w:val="27"/>
        </w:rPr>
        <w:t>一</w:t>
      </w:r>
      <w:proofErr w:type="gramEnd"/>
      <w:r w:rsidRPr="0095598C">
        <w:rPr>
          <w:rFonts w:ascii="microsoft yahei" w:eastAsia="宋体" w:hAnsi="microsoft yahei" w:cs="宋体"/>
          <w:kern w:val="0"/>
          <w:sz w:val="27"/>
          <w:szCs w:val="27"/>
        </w:rPr>
        <w:t>优</w:t>
      </w:r>
      <w:r w:rsidRPr="0095598C">
        <w:rPr>
          <w:rFonts w:ascii="microsoft yahei" w:eastAsia="宋体" w:hAnsi="microsoft yahei" w:cs="宋体"/>
          <w:kern w:val="0"/>
          <w:sz w:val="27"/>
          <w:szCs w:val="27"/>
        </w:rPr>
        <w:t>”</w:t>
      </w:r>
      <w:r w:rsidRPr="0095598C">
        <w:rPr>
          <w:rFonts w:ascii="microsoft yahei" w:eastAsia="宋体" w:hAnsi="microsoft yahei" w:cs="宋体"/>
          <w:kern w:val="0"/>
          <w:sz w:val="27"/>
          <w:szCs w:val="27"/>
        </w:rPr>
        <w:t>和绿色崛起，增加信贷投入，优化信贷结构，创新金融产品，提升服务水平，更好地发挥金融在经济社会发展中的支撑和引领作用，特制定本办法。</w:t>
      </w:r>
    </w:p>
    <w:p w:rsidR="0095598C" w:rsidRPr="0095598C" w:rsidRDefault="0095598C" w:rsidP="0095598C">
      <w:pPr>
        <w:widowControl/>
        <w:spacing w:line="600" w:lineRule="atLeast"/>
        <w:jc w:val="left"/>
        <w:rPr>
          <w:rFonts w:ascii="microsoft yahei" w:eastAsia="宋体" w:hAnsi="microsoft yahei" w:cs="宋体"/>
          <w:kern w:val="0"/>
          <w:sz w:val="27"/>
          <w:szCs w:val="27"/>
        </w:rPr>
      </w:pPr>
      <w:r w:rsidRPr="0095598C">
        <w:rPr>
          <w:rFonts w:ascii="microsoft yahei" w:eastAsia="宋体" w:hAnsi="microsoft yahei" w:cs="宋体"/>
          <w:kern w:val="0"/>
          <w:sz w:val="27"/>
          <w:szCs w:val="27"/>
        </w:rPr>
        <w:t xml:space="preserve">　　一、考核范围</w:t>
      </w:r>
    </w:p>
    <w:p w:rsidR="0095598C" w:rsidRPr="0095598C" w:rsidRDefault="0095598C" w:rsidP="0095598C">
      <w:pPr>
        <w:widowControl/>
        <w:spacing w:line="600" w:lineRule="atLeast"/>
        <w:jc w:val="left"/>
        <w:rPr>
          <w:rFonts w:ascii="microsoft yahei" w:eastAsia="宋体" w:hAnsi="microsoft yahei" w:cs="宋体"/>
          <w:kern w:val="0"/>
          <w:sz w:val="27"/>
          <w:szCs w:val="27"/>
        </w:rPr>
      </w:pPr>
      <w:r w:rsidRPr="0095598C">
        <w:rPr>
          <w:rFonts w:ascii="microsoft yahei" w:eastAsia="宋体" w:hAnsi="microsoft yahei" w:cs="宋体"/>
          <w:kern w:val="0"/>
          <w:sz w:val="27"/>
          <w:szCs w:val="27"/>
        </w:rPr>
        <w:t xml:space="preserve">　　本办法考核范围包括市级金融管理机构（人民银行咸宁市中心支行、咸宁银监分局、市保险行业协会），设立时间一年以上的市级银行业金融机构、保险业金融机构、证券</w:t>
      </w:r>
      <w:proofErr w:type="gramStart"/>
      <w:r w:rsidRPr="0095598C">
        <w:rPr>
          <w:rFonts w:ascii="microsoft yahei" w:eastAsia="宋体" w:hAnsi="microsoft yahei" w:cs="宋体"/>
          <w:kern w:val="0"/>
          <w:sz w:val="27"/>
          <w:szCs w:val="27"/>
        </w:rPr>
        <w:t>业金融</w:t>
      </w:r>
      <w:proofErr w:type="gramEnd"/>
      <w:r w:rsidRPr="0095598C">
        <w:rPr>
          <w:rFonts w:ascii="microsoft yahei" w:eastAsia="宋体" w:hAnsi="microsoft yahei" w:cs="宋体"/>
          <w:kern w:val="0"/>
          <w:sz w:val="27"/>
          <w:szCs w:val="27"/>
        </w:rPr>
        <w:t>机构。</w:t>
      </w:r>
    </w:p>
    <w:p w:rsidR="0095598C" w:rsidRPr="0095598C" w:rsidRDefault="0095598C" w:rsidP="0095598C">
      <w:pPr>
        <w:widowControl/>
        <w:spacing w:line="600" w:lineRule="atLeast"/>
        <w:jc w:val="left"/>
        <w:rPr>
          <w:rFonts w:ascii="microsoft yahei" w:eastAsia="宋体" w:hAnsi="microsoft yahei" w:cs="宋体"/>
          <w:kern w:val="0"/>
          <w:sz w:val="27"/>
          <w:szCs w:val="27"/>
        </w:rPr>
      </w:pPr>
      <w:r w:rsidRPr="0095598C">
        <w:rPr>
          <w:rFonts w:ascii="microsoft yahei" w:eastAsia="宋体" w:hAnsi="microsoft yahei" w:cs="宋体"/>
          <w:kern w:val="0"/>
          <w:sz w:val="27"/>
          <w:szCs w:val="27"/>
        </w:rPr>
        <w:t xml:space="preserve">　　二、考核内容</w:t>
      </w:r>
    </w:p>
    <w:p w:rsidR="0095598C" w:rsidRPr="0095598C" w:rsidRDefault="0095598C" w:rsidP="0095598C">
      <w:pPr>
        <w:widowControl/>
        <w:spacing w:line="600" w:lineRule="atLeast"/>
        <w:jc w:val="left"/>
        <w:rPr>
          <w:rFonts w:ascii="microsoft yahei" w:eastAsia="宋体" w:hAnsi="microsoft yahei" w:cs="宋体"/>
          <w:kern w:val="0"/>
          <w:sz w:val="27"/>
          <w:szCs w:val="27"/>
        </w:rPr>
      </w:pPr>
      <w:r w:rsidRPr="0095598C">
        <w:rPr>
          <w:rFonts w:ascii="microsoft yahei" w:eastAsia="宋体" w:hAnsi="microsoft yahei" w:cs="宋体"/>
          <w:kern w:val="0"/>
          <w:sz w:val="27"/>
          <w:szCs w:val="27"/>
        </w:rPr>
        <w:t xml:space="preserve">　　实行百分制考核，对金融管理机构、银行业金融机构、保险业金融机构、证券</w:t>
      </w:r>
      <w:proofErr w:type="gramStart"/>
      <w:r w:rsidRPr="0095598C">
        <w:rPr>
          <w:rFonts w:ascii="microsoft yahei" w:eastAsia="宋体" w:hAnsi="microsoft yahei" w:cs="宋体"/>
          <w:kern w:val="0"/>
          <w:sz w:val="27"/>
          <w:szCs w:val="27"/>
        </w:rPr>
        <w:t>业金融</w:t>
      </w:r>
      <w:proofErr w:type="gramEnd"/>
      <w:r w:rsidRPr="0095598C">
        <w:rPr>
          <w:rFonts w:ascii="microsoft yahei" w:eastAsia="宋体" w:hAnsi="microsoft yahei" w:cs="宋体"/>
          <w:kern w:val="0"/>
          <w:sz w:val="27"/>
          <w:szCs w:val="27"/>
        </w:rPr>
        <w:t>机构从规模、占比、位次、提升、创新、效益等方面进行考核。</w:t>
      </w:r>
    </w:p>
    <w:p w:rsidR="0095598C" w:rsidRPr="0095598C" w:rsidRDefault="0095598C" w:rsidP="0095598C">
      <w:pPr>
        <w:widowControl/>
        <w:spacing w:line="600" w:lineRule="atLeast"/>
        <w:jc w:val="left"/>
        <w:rPr>
          <w:rFonts w:ascii="microsoft yahei" w:eastAsia="宋体" w:hAnsi="microsoft yahei" w:cs="宋体"/>
          <w:kern w:val="0"/>
          <w:sz w:val="27"/>
          <w:szCs w:val="27"/>
        </w:rPr>
      </w:pPr>
      <w:r w:rsidRPr="0095598C">
        <w:rPr>
          <w:rFonts w:ascii="microsoft yahei" w:eastAsia="宋体" w:hAnsi="microsoft yahei" w:cs="宋体"/>
          <w:kern w:val="0"/>
          <w:sz w:val="27"/>
          <w:szCs w:val="27"/>
        </w:rPr>
        <w:lastRenderedPageBreak/>
        <w:t xml:space="preserve">　　（一）金融管理机构评分标准（附表</w:t>
      </w:r>
      <w:r w:rsidRPr="0095598C">
        <w:rPr>
          <w:rFonts w:ascii="microsoft yahei" w:eastAsia="宋体" w:hAnsi="microsoft yahei" w:cs="宋体"/>
          <w:kern w:val="0"/>
          <w:sz w:val="27"/>
          <w:szCs w:val="27"/>
        </w:rPr>
        <w:t>1</w:t>
      </w:r>
      <w:r w:rsidRPr="0095598C">
        <w:rPr>
          <w:rFonts w:ascii="microsoft yahei" w:eastAsia="宋体" w:hAnsi="microsoft yahei" w:cs="宋体"/>
          <w:kern w:val="0"/>
          <w:sz w:val="27"/>
          <w:szCs w:val="27"/>
        </w:rPr>
        <w:t>）；</w:t>
      </w:r>
    </w:p>
    <w:p w:rsidR="0095598C" w:rsidRPr="0095598C" w:rsidRDefault="0095598C" w:rsidP="0095598C">
      <w:pPr>
        <w:widowControl/>
        <w:spacing w:line="600" w:lineRule="atLeast"/>
        <w:jc w:val="left"/>
        <w:rPr>
          <w:rFonts w:ascii="microsoft yahei" w:eastAsia="宋体" w:hAnsi="microsoft yahei" w:cs="宋体"/>
          <w:kern w:val="0"/>
          <w:sz w:val="27"/>
          <w:szCs w:val="27"/>
        </w:rPr>
      </w:pPr>
      <w:r w:rsidRPr="0095598C">
        <w:rPr>
          <w:rFonts w:ascii="microsoft yahei" w:eastAsia="宋体" w:hAnsi="microsoft yahei" w:cs="宋体"/>
          <w:kern w:val="0"/>
          <w:sz w:val="27"/>
          <w:szCs w:val="27"/>
        </w:rPr>
        <w:t xml:space="preserve">　　（二）银行业金融机构评分标准（附表</w:t>
      </w:r>
      <w:r w:rsidRPr="0095598C">
        <w:rPr>
          <w:rFonts w:ascii="microsoft yahei" w:eastAsia="宋体" w:hAnsi="microsoft yahei" w:cs="宋体"/>
          <w:kern w:val="0"/>
          <w:sz w:val="27"/>
          <w:szCs w:val="27"/>
        </w:rPr>
        <w:t>2</w:t>
      </w:r>
      <w:r w:rsidRPr="0095598C">
        <w:rPr>
          <w:rFonts w:ascii="microsoft yahei" w:eastAsia="宋体" w:hAnsi="microsoft yahei" w:cs="宋体"/>
          <w:kern w:val="0"/>
          <w:sz w:val="27"/>
          <w:szCs w:val="27"/>
        </w:rPr>
        <w:t>）；</w:t>
      </w:r>
    </w:p>
    <w:p w:rsidR="0095598C" w:rsidRPr="0095598C" w:rsidRDefault="0095598C" w:rsidP="0095598C">
      <w:pPr>
        <w:widowControl/>
        <w:spacing w:line="600" w:lineRule="atLeast"/>
        <w:jc w:val="left"/>
        <w:rPr>
          <w:rFonts w:ascii="microsoft yahei" w:eastAsia="宋体" w:hAnsi="microsoft yahei" w:cs="宋体"/>
          <w:kern w:val="0"/>
          <w:sz w:val="27"/>
          <w:szCs w:val="27"/>
        </w:rPr>
      </w:pPr>
      <w:r w:rsidRPr="0095598C">
        <w:rPr>
          <w:rFonts w:ascii="microsoft yahei" w:eastAsia="宋体" w:hAnsi="microsoft yahei" w:cs="宋体"/>
          <w:kern w:val="0"/>
          <w:sz w:val="27"/>
          <w:szCs w:val="27"/>
        </w:rPr>
        <w:t xml:space="preserve">　　（三）保险业金融机构评分标准（附表</w:t>
      </w:r>
      <w:r w:rsidRPr="0095598C">
        <w:rPr>
          <w:rFonts w:ascii="microsoft yahei" w:eastAsia="宋体" w:hAnsi="microsoft yahei" w:cs="宋体"/>
          <w:kern w:val="0"/>
          <w:sz w:val="27"/>
          <w:szCs w:val="27"/>
        </w:rPr>
        <w:t>3</w:t>
      </w:r>
      <w:r w:rsidRPr="0095598C">
        <w:rPr>
          <w:rFonts w:ascii="microsoft yahei" w:eastAsia="宋体" w:hAnsi="microsoft yahei" w:cs="宋体"/>
          <w:kern w:val="0"/>
          <w:sz w:val="27"/>
          <w:szCs w:val="27"/>
        </w:rPr>
        <w:t>）；</w:t>
      </w:r>
    </w:p>
    <w:p w:rsidR="0095598C" w:rsidRPr="0095598C" w:rsidRDefault="0095598C" w:rsidP="0095598C">
      <w:pPr>
        <w:widowControl/>
        <w:spacing w:line="600" w:lineRule="atLeast"/>
        <w:jc w:val="left"/>
        <w:rPr>
          <w:rFonts w:ascii="microsoft yahei" w:eastAsia="宋体" w:hAnsi="microsoft yahei" w:cs="宋体"/>
          <w:kern w:val="0"/>
          <w:sz w:val="27"/>
          <w:szCs w:val="27"/>
        </w:rPr>
      </w:pPr>
      <w:r w:rsidRPr="0095598C">
        <w:rPr>
          <w:rFonts w:ascii="microsoft yahei" w:eastAsia="宋体" w:hAnsi="microsoft yahei" w:cs="宋体"/>
          <w:kern w:val="0"/>
          <w:sz w:val="27"/>
          <w:szCs w:val="27"/>
        </w:rPr>
        <w:t xml:space="preserve">　　（四）证券</w:t>
      </w:r>
      <w:proofErr w:type="gramStart"/>
      <w:r w:rsidRPr="0095598C">
        <w:rPr>
          <w:rFonts w:ascii="microsoft yahei" w:eastAsia="宋体" w:hAnsi="microsoft yahei" w:cs="宋体"/>
          <w:kern w:val="0"/>
          <w:sz w:val="27"/>
          <w:szCs w:val="27"/>
        </w:rPr>
        <w:t>业金融</w:t>
      </w:r>
      <w:proofErr w:type="gramEnd"/>
      <w:r w:rsidRPr="0095598C">
        <w:rPr>
          <w:rFonts w:ascii="microsoft yahei" w:eastAsia="宋体" w:hAnsi="microsoft yahei" w:cs="宋体"/>
          <w:kern w:val="0"/>
          <w:sz w:val="27"/>
          <w:szCs w:val="27"/>
        </w:rPr>
        <w:t>机构评分标准（附表</w:t>
      </w:r>
      <w:r w:rsidRPr="0095598C">
        <w:rPr>
          <w:rFonts w:ascii="microsoft yahei" w:eastAsia="宋体" w:hAnsi="microsoft yahei" w:cs="宋体"/>
          <w:kern w:val="0"/>
          <w:sz w:val="27"/>
          <w:szCs w:val="27"/>
        </w:rPr>
        <w:t>4</w:t>
      </w:r>
      <w:r w:rsidRPr="0095598C">
        <w:rPr>
          <w:rFonts w:ascii="microsoft yahei" w:eastAsia="宋体" w:hAnsi="microsoft yahei" w:cs="宋体"/>
          <w:kern w:val="0"/>
          <w:sz w:val="27"/>
          <w:szCs w:val="27"/>
        </w:rPr>
        <w:t>）。</w:t>
      </w:r>
    </w:p>
    <w:p w:rsidR="0095598C" w:rsidRPr="0095598C" w:rsidRDefault="0095598C" w:rsidP="0095598C">
      <w:pPr>
        <w:widowControl/>
        <w:spacing w:line="600" w:lineRule="atLeast"/>
        <w:jc w:val="left"/>
        <w:rPr>
          <w:rFonts w:ascii="microsoft yahei" w:eastAsia="宋体" w:hAnsi="microsoft yahei" w:cs="宋体"/>
          <w:kern w:val="0"/>
          <w:sz w:val="27"/>
          <w:szCs w:val="27"/>
        </w:rPr>
      </w:pPr>
      <w:r w:rsidRPr="0095598C">
        <w:rPr>
          <w:rFonts w:ascii="microsoft yahei" w:eastAsia="宋体" w:hAnsi="microsoft yahei" w:cs="宋体"/>
          <w:kern w:val="0"/>
          <w:sz w:val="27"/>
          <w:szCs w:val="27"/>
        </w:rPr>
        <w:t xml:space="preserve">　　三、考核结果运用</w:t>
      </w:r>
    </w:p>
    <w:p w:rsidR="0095598C" w:rsidRPr="0095598C" w:rsidRDefault="0095598C" w:rsidP="0095598C">
      <w:pPr>
        <w:widowControl/>
        <w:spacing w:line="600" w:lineRule="atLeast"/>
        <w:jc w:val="left"/>
        <w:rPr>
          <w:rFonts w:ascii="microsoft yahei" w:eastAsia="宋体" w:hAnsi="microsoft yahei" w:cs="宋体"/>
          <w:kern w:val="0"/>
          <w:sz w:val="27"/>
          <w:szCs w:val="27"/>
        </w:rPr>
      </w:pPr>
      <w:r w:rsidRPr="0095598C">
        <w:rPr>
          <w:rFonts w:ascii="microsoft yahei" w:eastAsia="宋体" w:hAnsi="microsoft yahei" w:cs="宋体"/>
          <w:kern w:val="0"/>
          <w:sz w:val="27"/>
          <w:szCs w:val="27"/>
        </w:rPr>
        <w:t xml:space="preserve">　　（一）金融管理机构。对考核得分在</w:t>
      </w:r>
      <w:r w:rsidRPr="0095598C">
        <w:rPr>
          <w:rFonts w:ascii="microsoft yahei" w:eastAsia="宋体" w:hAnsi="microsoft yahei" w:cs="宋体"/>
          <w:kern w:val="0"/>
          <w:sz w:val="27"/>
          <w:szCs w:val="27"/>
        </w:rPr>
        <w:t>80</w:t>
      </w:r>
      <w:r w:rsidRPr="0095598C">
        <w:rPr>
          <w:rFonts w:ascii="microsoft yahei" w:eastAsia="宋体" w:hAnsi="microsoft yahei" w:cs="宋体"/>
          <w:kern w:val="0"/>
          <w:sz w:val="27"/>
          <w:szCs w:val="27"/>
        </w:rPr>
        <w:t>分</w:t>
      </w:r>
      <w:r w:rsidRPr="0095598C">
        <w:rPr>
          <w:rFonts w:ascii="microsoft yahei" w:eastAsia="宋体" w:hAnsi="microsoft yahei" w:cs="宋体"/>
          <w:kern w:val="0"/>
          <w:sz w:val="27"/>
          <w:szCs w:val="27"/>
        </w:rPr>
        <w:t>(</w:t>
      </w:r>
      <w:r w:rsidRPr="0095598C">
        <w:rPr>
          <w:rFonts w:ascii="microsoft yahei" w:eastAsia="宋体" w:hAnsi="microsoft yahei" w:cs="宋体"/>
          <w:kern w:val="0"/>
          <w:sz w:val="27"/>
          <w:szCs w:val="27"/>
        </w:rPr>
        <w:t>含</w:t>
      </w:r>
      <w:r w:rsidRPr="0095598C">
        <w:rPr>
          <w:rFonts w:ascii="microsoft yahei" w:eastAsia="宋体" w:hAnsi="microsoft yahei" w:cs="宋体"/>
          <w:kern w:val="0"/>
          <w:sz w:val="27"/>
          <w:szCs w:val="27"/>
        </w:rPr>
        <w:t>80</w:t>
      </w:r>
      <w:r w:rsidRPr="0095598C">
        <w:rPr>
          <w:rFonts w:ascii="microsoft yahei" w:eastAsia="宋体" w:hAnsi="microsoft yahei" w:cs="宋体"/>
          <w:kern w:val="0"/>
          <w:sz w:val="27"/>
          <w:szCs w:val="27"/>
        </w:rPr>
        <w:t>分</w:t>
      </w:r>
      <w:r w:rsidRPr="0095598C">
        <w:rPr>
          <w:rFonts w:ascii="microsoft yahei" w:eastAsia="宋体" w:hAnsi="microsoft yahei" w:cs="宋体"/>
          <w:kern w:val="0"/>
          <w:sz w:val="27"/>
          <w:szCs w:val="27"/>
        </w:rPr>
        <w:t>)</w:t>
      </w:r>
      <w:r w:rsidRPr="0095598C">
        <w:rPr>
          <w:rFonts w:ascii="microsoft yahei" w:eastAsia="宋体" w:hAnsi="microsoft yahei" w:cs="宋体"/>
          <w:kern w:val="0"/>
          <w:sz w:val="27"/>
          <w:szCs w:val="27"/>
        </w:rPr>
        <w:t>以上的金融管理机构，授予</w:t>
      </w:r>
      <w:r w:rsidRPr="0095598C">
        <w:rPr>
          <w:rFonts w:ascii="microsoft yahei" w:eastAsia="宋体" w:hAnsi="microsoft yahei" w:cs="宋体"/>
          <w:kern w:val="0"/>
          <w:sz w:val="27"/>
          <w:szCs w:val="27"/>
        </w:rPr>
        <w:t>“</w:t>
      </w:r>
      <w:r w:rsidRPr="0095598C">
        <w:rPr>
          <w:rFonts w:ascii="microsoft yahei" w:eastAsia="宋体" w:hAnsi="microsoft yahei" w:cs="宋体"/>
          <w:kern w:val="0"/>
          <w:sz w:val="27"/>
          <w:szCs w:val="27"/>
        </w:rPr>
        <w:t>年度金融机构支持地方经济发展突出贡献奖</w:t>
      </w:r>
      <w:r w:rsidRPr="0095598C">
        <w:rPr>
          <w:rFonts w:ascii="microsoft yahei" w:eastAsia="宋体" w:hAnsi="microsoft yahei" w:cs="宋体"/>
          <w:kern w:val="0"/>
          <w:sz w:val="27"/>
          <w:szCs w:val="27"/>
        </w:rPr>
        <w:t>”</w:t>
      </w:r>
      <w:r w:rsidRPr="0095598C">
        <w:rPr>
          <w:rFonts w:ascii="microsoft yahei" w:eastAsia="宋体" w:hAnsi="microsoft yahei" w:cs="宋体"/>
          <w:kern w:val="0"/>
          <w:sz w:val="27"/>
          <w:szCs w:val="27"/>
        </w:rPr>
        <w:t>荣誉称号，给予单位一定的资金奖励。</w:t>
      </w:r>
    </w:p>
    <w:p w:rsidR="0095598C" w:rsidRPr="0095598C" w:rsidRDefault="0095598C" w:rsidP="0095598C">
      <w:pPr>
        <w:widowControl/>
        <w:spacing w:line="600" w:lineRule="atLeast"/>
        <w:jc w:val="left"/>
        <w:rPr>
          <w:rFonts w:ascii="microsoft yahei" w:eastAsia="宋体" w:hAnsi="microsoft yahei" w:cs="宋体"/>
          <w:kern w:val="0"/>
          <w:sz w:val="27"/>
          <w:szCs w:val="27"/>
        </w:rPr>
      </w:pPr>
      <w:r w:rsidRPr="0095598C">
        <w:rPr>
          <w:rFonts w:ascii="microsoft yahei" w:eastAsia="宋体" w:hAnsi="microsoft yahei" w:cs="宋体"/>
          <w:kern w:val="0"/>
          <w:sz w:val="27"/>
          <w:szCs w:val="27"/>
        </w:rPr>
        <w:t xml:space="preserve">　　（二）银行业金融机构。依据考核结果奖励前六名，授予</w:t>
      </w:r>
      <w:r w:rsidRPr="0095598C">
        <w:rPr>
          <w:rFonts w:ascii="microsoft yahei" w:eastAsia="宋体" w:hAnsi="microsoft yahei" w:cs="宋体"/>
          <w:kern w:val="0"/>
          <w:sz w:val="27"/>
          <w:szCs w:val="27"/>
        </w:rPr>
        <w:t>“</w:t>
      </w:r>
      <w:r w:rsidRPr="0095598C">
        <w:rPr>
          <w:rFonts w:ascii="microsoft yahei" w:eastAsia="宋体" w:hAnsi="microsoft yahei" w:cs="宋体"/>
          <w:kern w:val="0"/>
          <w:sz w:val="27"/>
          <w:szCs w:val="27"/>
        </w:rPr>
        <w:t>年度金融机构支持地方经济发展突出贡献奖</w:t>
      </w:r>
      <w:r w:rsidRPr="0095598C">
        <w:rPr>
          <w:rFonts w:ascii="microsoft yahei" w:eastAsia="宋体" w:hAnsi="microsoft yahei" w:cs="宋体"/>
          <w:kern w:val="0"/>
          <w:sz w:val="27"/>
          <w:szCs w:val="27"/>
        </w:rPr>
        <w:t>”</w:t>
      </w:r>
      <w:r w:rsidRPr="0095598C">
        <w:rPr>
          <w:rFonts w:ascii="microsoft yahei" w:eastAsia="宋体" w:hAnsi="microsoft yahei" w:cs="宋体"/>
          <w:kern w:val="0"/>
          <w:sz w:val="27"/>
          <w:szCs w:val="27"/>
        </w:rPr>
        <w:t>荣誉称号，并在政府性资金存放、财政专户开户等财政资源分配方面优先给予支持，对单位主要负责人及班子成员，地方财政按个人所得税地方分享部分的</w:t>
      </w:r>
      <w:r w:rsidRPr="0095598C">
        <w:rPr>
          <w:rFonts w:ascii="microsoft yahei" w:eastAsia="宋体" w:hAnsi="microsoft yahei" w:cs="宋体"/>
          <w:kern w:val="0"/>
          <w:sz w:val="27"/>
          <w:szCs w:val="27"/>
        </w:rPr>
        <w:t>80%</w:t>
      </w:r>
      <w:r w:rsidRPr="0095598C">
        <w:rPr>
          <w:rFonts w:ascii="microsoft yahei" w:eastAsia="宋体" w:hAnsi="microsoft yahei" w:cs="宋体"/>
          <w:kern w:val="0"/>
          <w:sz w:val="27"/>
          <w:szCs w:val="27"/>
        </w:rPr>
        <w:t>给予奖励。</w:t>
      </w:r>
    </w:p>
    <w:p w:rsidR="0095598C" w:rsidRPr="0095598C" w:rsidRDefault="0095598C" w:rsidP="0095598C">
      <w:pPr>
        <w:widowControl/>
        <w:spacing w:line="600" w:lineRule="atLeast"/>
        <w:jc w:val="left"/>
        <w:rPr>
          <w:rFonts w:ascii="microsoft yahei" w:eastAsia="宋体" w:hAnsi="microsoft yahei" w:cs="宋体"/>
          <w:kern w:val="0"/>
          <w:sz w:val="27"/>
          <w:szCs w:val="27"/>
        </w:rPr>
      </w:pPr>
      <w:r w:rsidRPr="0095598C">
        <w:rPr>
          <w:rFonts w:ascii="microsoft yahei" w:eastAsia="宋体" w:hAnsi="microsoft yahei" w:cs="宋体"/>
          <w:kern w:val="0"/>
          <w:sz w:val="27"/>
          <w:szCs w:val="27"/>
        </w:rPr>
        <w:t xml:space="preserve">　　（三）保险业金融机构。依据考核结果奖励前五名，授予</w:t>
      </w:r>
      <w:r w:rsidRPr="0095598C">
        <w:rPr>
          <w:rFonts w:ascii="microsoft yahei" w:eastAsia="宋体" w:hAnsi="microsoft yahei" w:cs="宋体"/>
          <w:kern w:val="0"/>
          <w:sz w:val="27"/>
          <w:szCs w:val="27"/>
        </w:rPr>
        <w:t>“</w:t>
      </w:r>
      <w:r w:rsidRPr="0095598C">
        <w:rPr>
          <w:rFonts w:ascii="microsoft yahei" w:eastAsia="宋体" w:hAnsi="microsoft yahei" w:cs="宋体"/>
          <w:kern w:val="0"/>
          <w:sz w:val="27"/>
          <w:szCs w:val="27"/>
        </w:rPr>
        <w:t>年度金融机构支持地方经济发展突出贡献奖</w:t>
      </w:r>
      <w:r w:rsidRPr="0095598C">
        <w:rPr>
          <w:rFonts w:ascii="microsoft yahei" w:eastAsia="宋体" w:hAnsi="microsoft yahei" w:cs="宋体"/>
          <w:kern w:val="0"/>
          <w:sz w:val="27"/>
          <w:szCs w:val="27"/>
        </w:rPr>
        <w:t>”</w:t>
      </w:r>
      <w:r w:rsidRPr="0095598C">
        <w:rPr>
          <w:rFonts w:ascii="microsoft yahei" w:eastAsia="宋体" w:hAnsi="microsoft yahei" w:cs="宋体"/>
          <w:kern w:val="0"/>
          <w:sz w:val="27"/>
          <w:szCs w:val="27"/>
        </w:rPr>
        <w:t>荣誉称号，对单位主要负责人及班子成员，地方财政按个人所得税地方分享部分的</w:t>
      </w:r>
      <w:r w:rsidRPr="0095598C">
        <w:rPr>
          <w:rFonts w:ascii="microsoft yahei" w:eastAsia="宋体" w:hAnsi="microsoft yahei" w:cs="宋体"/>
          <w:kern w:val="0"/>
          <w:sz w:val="27"/>
          <w:szCs w:val="27"/>
        </w:rPr>
        <w:t>80%</w:t>
      </w:r>
      <w:r w:rsidRPr="0095598C">
        <w:rPr>
          <w:rFonts w:ascii="microsoft yahei" w:eastAsia="宋体" w:hAnsi="microsoft yahei" w:cs="宋体"/>
          <w:kern w:val="0"/>
          <w:sz w:val="27"/>
          <w:szCs w:val="27"/>
        </w:rPr>
        <w:t>给予奖励。</w:t>
      </w:r>
    </w:p>
    <w:p w:rsidR="0095598C" w:rsidRPr="0095598C" w:rsidRDefault="0095598C" w:rsidP="0095598C">
      <w:pPr>
        <w:widowControl/>
        <w:spacing w:line="600" w:lineRule="atLeast"/>
        <w:jc w:val="left"/>
        <w:rPr>
          <w:rFonts w:ascii="microsoft yahei" w:eastAsia="宋体" w:hAnsi="microsoft yahei" w:cs="宋体"/>
          <w:kern w:val="0"/>
          <w:sz w:val="27"/>
          <w:szCs w:val="27"/>
        </w:rPr>
      </w:pPr>
      <w:r w:rsidRPr="0095598C">
        <w:rPr>
          <w:rFonts w:ascii="microsoft yahei" w:eastAsia="宋体" w:hAnsi="microsoft yahei" w:cs="宋体"/>
          <w:kern w:val="0"/>
          <w:sz w:val="27"/>
          <w:szCs w:val="27"/>
        </w:rPr>
        <w:t xml:space="preserve">　　（四）证券</w:t>
      </w:r>
      <w:proofErr w:type="gramStart"/>
      <w:r w:rsidRPr="0095598C">
        <w:rPr>
          <w:rFonts w:ascii="microsoft yahei" w:eastAsia="宋体" w:hAnsi="microsoft yahei" w:cs="宋体"/>
          <w:kern w:val="0"/>
          <w:sz w:val="27"/>
          <w:szCs w:val="27"/>
        </w:rPr>
        <w:t>业金融</w:t>
      </w:r>
      <w:proofErr w:type="gramEnd"/>
      <w:r w:rsidRPr="0095598C">
        <w:rPr>
          <w:rFonts w:ascii="microsoft yahei" w:eastAsia="宋体" w:hAnsi="microsoft yahei" w:cs="宋体"/>
          <w:kern w:val="0"/>
          <w:sz w:val="27"/>
          <w:szCs w:val="27"/>
        </w:rPr>
        <w:t>机构。依据考核结果奖励第一名，授予</w:t>
      </w:r>
      <w:r w:rsidRPr="0095598C">
        <w:rPr>
          <w:rFonts w:ascii="microsoft yahei" w:eastAsia="宋体" w:hAnsi="microsoft yahei" w:cs="宋体"/>
          <w:kern w:val="0"/>
          <w:sz w:val="27"/>
          <w:szCs w:val="27"/>
        </w:rPr>
        <w:t>“</w:t>
      </w:r>
      <w:r w:rsidRPr="0095598C">
        <w:rPr>
          <w:rFonts w:ascii="microsoft yahei" w:eastAsia="宋体" w:hAnsi="microsoft yahei" w:cs="宋体"/>
          <w:kern w:val="0"/>
          <w:sz w:val="27"/>
          <w:szCs w:val="27"/>
        </w:rPr>
        <w:t>年度金融机构支持地方经济发展突出贡献奖</w:t>
      </w:r>
      <w:r w:rsidRPr="0095598C">
        <w:rPr>
          <w:rFonts w:ascii="microsoft yahei" w:eastAsia="宋体" w:hAnsi="microsoft yahei" w:cs="宋体"/>
          <w:kern w:val="0"/>
          <w:sz w:val="27"/>
          <w:szCs w:val="27"/>
        </w:rPr>
        <w:t>”</w:t>
      </w:r>
      <w:r w:rsidRPr="0095598C">
        <w:rPr>
          <w:rFonts w:ascii="microsoft yahei" w:eastAsia="宋体" w:hAnsi="microsoft yahei" w:cs="宋体"/>
          <w:kern w:val="0"/>
          <w:sz w:val="27"/>
          <w:szCs w:val="27"/>
        </w:rPr>
        <w:t>荣誉称号，对单位主要负责人及班子成员，地方财政按个人所得税地方分享部分的</w:t>
      </w:r>
      <w:r w:rsidRPr="0095598C">
        <w:rPr>
          <w:rFonts w:ascii="microsoft yahei" w:eastAsia="宋体" w:hAnsi="microsoft yahei" w:cs="宋体"/>
          <w:kern w:val="0"/>
          <w:sz w:val="27"/>
          <w:szCs w:val="27"/>
        </w:rPr>
        <w:t>80%</w:t>
      </w:r>
      <w:r w:rsidRPr="0095598C">
        <w:rPr>
          <w:rFonts w:ascii="microsoft yahei" w:eastAsia="宋体" w:hAnsi="microsoft yahei" w:cs="宋体"/>
          <w:kern w:val="0"/>
          <w:sz w:val="27"/>
          <w:szCs w:val="27"/>
        </w:rPr>
        <w:t>给予奖励。</w:t>
      </w:r>
    </w:p>
    <w:p w:rsidR="0095598C" w:rsidRPr="0095598C" w:rsidRDefault="0095598C" w:rsidP="0095598C">
      <w:pPr>
        <w:widowControl/>
        <w:spacing w:line="600" w:lineRule="atLeast"/>
        <w:jc w:val="left"/>
        <w:rPr>
          <w:rFonts w:ascii="microsoft yahei" w:eastAsia="宋体" w:hAnsi="microsoft yahei" w:cs="宋体"/>
          <w:kern w:val="0"/>
          <w:sz w:val="27"/>
          <w:szCs w:val="27"/>
        </w:rPr>
      </w:pPr>
      <w:r w:rsidRPr="0095598C">
        <w:rPr>
          <w:rFonts w:ascii="microsoft yahei" w:eastAsia="宋体" w:hAnsi="microsoft yahei" w:cs="宋体"/>
          <w:kern w:val="0"/>
          <w:sz w:val="27"/>
          <w:szCs w:val="27"/>
        </w:rPr>
        <w:t xml:space="preserve">　　对于考核主要指标出现全面下滑、工作不力被</w:t>
      </w:r>
      <w:r w:rsidRPr="0095598C">
        <w:rPr>
          <w:rFonts w:ascii="microsoft yahei" w:eastAsia="宋体" w:hAnsi="microsoft yahei" w:cs="宋体"/>
          <w:kern w:val="0"/>
          <w:sz w:val="27"/>
          <w:szCs w:val="27"/>
        </w:rPr>
        <w:t>“</w:t>
      </w:r>
      <w:r w:rsidRPr="0095598C">
        <w:rPr>
          <w:rFonts w:ascii="microsoft yahei" w:eastAsia="宋体" w:hAnsi="microsoft yahei" w:cs="宋体"/>
          <w:kern w:val="0"/>
          <w:sz w:val="27"/>
          <w:szCs w:val="27"/>
        </w:rPr>
        <w:t>一票否决</w:t>
      </w:r>
      <w:r w:rsidRPr="0095598C">
        <w:rPr>
          <w:rFonts w:ascii="microsoft yahei" w:eastAsia="宋体" w:hAnsi="microsoft yahei" w:cs="宋体"/>
          <w:kern w:val="0"/>
          <w:sz w:val="27"/>
          <w:szCs w:val="27"/>
        </w:rPr>
        <w:t>”</w:t>
      </w:r>
      <w:r w:rsidRPr="0095598C">
        <w:rPr>
          <w:rFonts w:ascii="microsoft yahei" w:eastAsia="宋体" w:hAnsi="microsoft yahei" w:cs="宋体"/>
          <w:kern w:val="0"/>
          <w:sz w:val="27"/>
          <w:szCs w:val="27"/>
        </w:rPr>
        <w:t>或发生系统性、区域性、行业性金融风险等造成重大社会不良影响的金融机</w:t>
      </w:r>
      <w:r w:rsidRPr="0095598C">
        <w:rPr>
          <w:rFonts w:ascii="microsoft yahei" w:eastAsia="宋体" w:hAnsi="microsoft yahei" w:cs="宋体"/>
          <w:kern w:val="0"/>
          <w:sz w:val="27"/>
          <w:szCs w:val="27"/>
        </w:rPr>
        <w:lastRenderedPageBreak/>
        <w:t>构给予通报批评，并减少财政资源分配额度，将考评结果书面通报给对口上级主管单位。</w:t>
      </w:r>
    </w:p>
    <w:p w:rsidR="0095598C" w:rsidRPr="0095598C" w:rsidRDefault="0095598C" w:rsidP="0095598C">
      <w:pPr>
        <w:widowControl/>
        <w:spacing w:line="600" w:lineRule="atLeast"/>
        <w:jc w:val="left"/>
        <w:rPr>
          <w:rFonts w:ascii="microsoft yahei" w:eastAsia="宋体" w:hAnsi="microsoft yahei" w:cs="宋体"/>
          <w:kern w:val="0"/>
          <w:sz w:val="27"/>
          <w:szCs w:val="27"/>
        </w:rPr>
      </w:pPr>
      <w:r w:rsidRPr="0095598C">
        <w:rPr>
          <w:rFonts w:ascii="microsoft yahei" w:eastAsia="宋体" w:hAnsi="microsoft yahei" w:cs="宋体"/>
          <w:kern w:val="0"/>
          <w:sz w:val="27"/>
          <w:szCs w:val="27"/>
        </w:rPr>
        <w:t xml:space="preserve">　　四、附则</w:t>
      </w:r>
    </w:p>
    <w:p w:rsidR="0095598C" w:rsidRPr="0095598C" w:rsidRDefault="0095598C" w:rsidP="0095598C">
      <w:pPr>
        <w:widowControl/>
        <w:spacing w:line="600" w:lineRule="atLeast"/>
        <w:jc w:val="left"/>
        <w:rPr>
          <w:rFonts w:ascii="microsoft yahei" w:eastAsia="宋体" w:hAnsi="microsoft yahei" w:cs="宋体"/>
          <w:kern w:val="0"/>
          <w:sz w:val="27"/>
          <w:szCs w:val="27"/>
        </w:rPr>
      </w:pPr>
      <w:r w:rsidRPr="0095598C">
        <w:rPr>
          <w:rFonts w:ascii="microsoft yahei" w:eastAsia="宋体" w:hAnsi="microsoft yahei" w:cs="宋体"/>
          <w:kern w:val="0"/>
          <w:sz w:val="27"/>
          <w:szCs w:val="27"/>
        </w:rPr>
        <w:t xml:space="preserve">　　（一）市政府金融办负责组织全市金融机构的考核工作，负责核算对金融监管机构的考核奖金总额及分配方案，负责会同市财政局、人行咸宁市中心支行、咸宁银监分局、市保险行业协会，采取现场考评和综合考评方式，核算全年各金融机构的考核排名，于每年</w:t>
      </w:r>
      <w:r w:rsidRPr="0095598C">
        <w:rPr>
          <w:rFonts w:ascii="microsoft yahei" w:eastAsia="宋体" w:hAnsi="microsoft yahei" w:cs="宋体"/>
          <w:kern w:val="0"/>
          <w:sz w:val="27"/>
          <w:szCs w:val="27"/>
        </w:rPr>
        <w:t>1</w:t>
      </w:r>
      <w:r w:rsidRPr="0095598C">
        <w:rPr>
          <w:rFonts w:ascii="microsoft yahei" w:eastAsia="宋体" w:hAnsi="microsoft yahei" w:cs="宋体"/>
          <w:kern w:val="0"/>
          <w:sz w:val="27"/>
          <w:szCs w:val="27"/>
        </w:rPr>
        <w:t>月</w:t>
      </w:r>
      <w:r w:rsidRPr="0095598C">
        <w:rPr>
          <w:rFonts w:ascii="microsoft yahei" w:eastAsia="宋体" w:hAnsi="microsoft yahei" w:cs="宋体"/>
          <w:kern w:val="0"/>
          <w:sz w:val="27"/>
          <w:szCs w:val="27"/>
        </w:rPr>
        <w:t>25</w:t>
      </w:r>
      <w:r w:rsidRPr="0095598C">
        <w:rPr>
          <w:rFonts w:ascii="microsoft yahei" w:eastAsia="宋体" w:hAnsi="microsoft yahei" w:cs="宋体"/>
          <w:kern w:val="0"/>
          <w:sz w:val="27"/>
          <w:szCs w:val="27"/>
        </w:rPr>
        <w:t>日前确定考核结果，报市政府审批。</w:t>
      </w:r>
    </w:p>
    <w:p w:rsidR="0095598C" w:rsidRPr="0095598C" w:rsidRDefault="0095598C" w:rsidP="0095598C">
      <w:pPr>
        <w:widowControl/>
        <w:spacing w:line="600" w:lineRule="atLeast"/>
        <w:jc w:val="left"/>
        <w:rPr>
          <w:rFonts w:ascii="microsoft yahei" w:eastAsia="宋体" w:hAnsi="microsoft yahei" w:cs="宋体"/>
          <w:kern w:val="0"/>
          <w:sz w:val="27"/>
          <w:szCs w:val="27"/>
        </w:rPr>
      </w:pPr>
      <w:r w:rsidRPr="0095598C">
        <w:rPr>
          <w:rFonts w:ascii="microsoft yahei" w:eastAsia="宋体" w:hAnsi="microsoft yahei" w:cs="宋体"/>
          <w:kern w:val="0"/>
          <w:sz w:val="27"/>
          <w:szCs w:val="27"/>
        </w:rPr>
        <w:t xml:space="preserve">　　（二）市财政每年预算安排不低于</w:t>
      </w:r>
      <w:r w:rsidRPr="0095598C">
        <w:rPr>
          <w:rFonts w:ascii="microsoft yahei" w:eastAsia="宋体" w:hAnsi="microsoft yahei" w:cs="宋体"/>
          <w:kern w:val="0"/>
          <w:sz w:val="27"/>
          <w:szCs w:val="27"/>
        </w:rPr>
        <w:t>100</w:t>
      </w:r>
      <w:r w:rsidRPr="0095598C">
        <w:rPr>
          <w:rFonts w:ascii="microsoft yahei" w:eastAsia="宋体" w:hAnsi="microsoft yahei" w:cs="宋体"/>
          <w:kern w:val="0"/>
          <w:sz w:val="27"/>
          <w:szCs w:val="27"/>
        </w:rPr>
        <w:t>万元资金，用于奖励支持对咸宁经济发展有突出贡献的金融管理机构。</w:t>
      </w:r>
    </w:p>
    <w:p w:rsidR="0095598C" w:rsidRPr="0095598C" w:rsidRDefault="0095598C" w:rsidP="0095598C">
      <w:pPr>
        <w:widowControl/>
        <w:spacing w:line="600" w:lineRule="atLeast"/>
        <w:jc w:val="left"/>
        <w:rPr>
          <w:rFonts w:ascii="microsoft yahei" w:eastAsia="宋体" w:hAnsi="microsoft yahei" w:cs="宋体"/>
          <w:kern w:val="0"/>
          <w:sz w:val="27"/>
          <w:szCs w:val="27"/>
        </w:rPr>
      </w:pPr>
      <w:r w:rsidRPr="0095598C">
        <w:rPr>
          <w:rFonts w:ascii="microsoft yahei" w:eastAsia="宋体" w:hAnsi="microsoft yahei" w:cs="宋体"/>
          <w:kern w:val="0"/>
          <w:sz w:val="27"/>
          <w:szCs w:val="27"/>
        </w:rPr>
        <w:t xml:space="preserve">　　（三）对统计年度内新设立的金融机构，在支持地方经济发展中有突出贡献，需要给予特别奖励的，由市政府另行研究决定。</w:t>
      </w:r>
    </w:p>
    <w:p w:rsidR="0095598C" w:rsidRPr="0095598C" w:rsidRDefault="0095598C" w:rsidP="0095598C">
      <w:pPr>
        <w:widowControl/>
        <w:spacing w:line="600" w:lineRule="atLeast"/>
        <w:jc w:val="left"/>
        <w:rPr>
          <w:rFonts w:ascii="microsoft yahei" w:eastAsia="宋体" w:hAnsi="microsoft yahei" w:cs="宋体"/>
          <w:kern w:val="0"/>
          <w:sz w:val="27"/>
          <w:szCs w:val="27"/>
        </w:rPr>
      </w:pPr>
      <w:r w:rsidRPr="0095598C">
        <w:rPr>
          <w:rFonts w:ascii="microsoft yahei" w:eastAsia="宋体" w:hAnsi="microsoft yahei" w:cs="宋体"/>
          <w:kern w:val="0"/>
          <w:sz w:val="27"/>
          <w:szCs w:val="27"/>
        </w:rPr>
        <w:t xml:space="preserve">　　（四）本办法由市政府金融办负责解释。</w:t>
      </w:r>
    </w:p>
    <w:p w:rsidR="0095598C" w:rsidRPr="0095598C" w:rsidRDefault="0095598C" w:rsidP="0095598C">
      <w:pPr>
        <w:widowControl/>
        <w:spacing w:line="600" w:lineRule="atLeast"/>
        <w:jc w:val="left"/>
        <w:rPr>
          <w:rFonts w:ascii="microsoft yahei" w:eastAsia="宋体" w:hAnsi="microsoft yahei" w:cs="宋体"/>
          <w:kern w:val="0"/>
          <w:sz w:val="27"/>
          <w:szCs w:val="27"/>
        </w:rPr>
      </w:pPr>
      <w:r w:rsidRPr="0095598C">
        <w:rPr>
          <w:rFonts w:ascii="microsoft yahei" w:eastAsia="宋体" w:hAnsi="microsoft yahei" w:cs="宋体"/>
          <w:kern w:val="0"/>
          <w:sz w:val="27"/>
          <w:szCs w:val="27"/>
        </w:rPr>
        <w:t xml:space="preserve">　　（五）本办法自印发之日起实施。</w:t>
      </w:r>
    </w:p>
    <w:p w:rsidR="0095598C" w:rsidRPr="0095598C" w:rsidRDefault="0095598C" w:rsidP="0095598C">
      <w:pPr>
        <w:widowControl/>
        <w:spacing w:line="600" w:lineRule="atLeast"/>
        <w:jc w:val="left"/>
        <w:rPr>
          <w:rFonts w:ascii="microsoft yahei" w:eastAsia="宋体" w:hAnsi="microsoft yahei" w:cs="宋体"/>
          <w:kern w:val="0"/>
          <w:sz w:val="27"/>
          <w:szCs w:val="27"/>
        </w:rPr>
      </w:pPr>
      <w:r w:rsidRPr="0095598C">
        <w:rPr>
          <w:rFonts w:ascii="microsoft yahei" w:eastAsia="宋体" w:hAnsi="microsoft yahei" w:cs="宋体"/>
          <w:kern w:val="0"/>
          <w:sz w:val="27"/>
          <w:szCs w:val="27"/>
        </w:rPr>
        <w:t> </w:t>
      </w:r>
    </w:p>
    <w:p w:rsidR="0095598C" w:rsidRPr="0095598C" w:rsidRDefault="0095598C" w:rsidP="0095598C">
      <w:pPr>
        <w:widowControl/>
        <w:spacing w:line="600" w:lineRule="atLeast"/>
        <w:jc w:val="left"/>
        <w:rPr>
          <w:rFonts w:ascii="宋体" w:eastAsia="宋体" w:hAnsi="宋体" w:cs="宋体"/>
          <w:kern w:val="0"/>
          <w:sz w:val="24"/>
          <w:szCs w:val="24"/>
        </w:rPr>
      </w:pPr>
      <w:r w:rsidRPr="0095598C">
        <w:rPr>
          <w:rFonts w:ascii="黑体" w:eastAsia="黑体" w:hAnsi="黑体" w:cs="宋体" w:hint="eastAsia"/>
          <w:kern w:val="0"/>
          <w:sz w:val="32"/>
          <w:szCs w:val="32"/>
        </w:rPr>
        <w:t>附表1</w:t>
      </w:r>
    </w:p>
    <w:p w:rsidR="0095598C" w:rsidRPr="0095598C" w:rsidRDefault="0095598C" w:rsidP="0095598C">
      <w:pPr>
        <w:widowControl/>
        <w:spacing w:line="600" w:lineRule="atLeast"/>
        <w:jc w:val="left"/>
        <w:rPr>
          <w:rFonts w:ascii="宋体" w:eastAsia="宋体" w:hAnsi="宋体" w:cs="宋体"/>
          <w:kern w:val="0"/>
          <w:sz w:val="24"/>
          <w:szCs w:val="24"/>
        </w:rPr>
      </w:pPr>
      <w:r w:rsidRPr="0095598C">
        <w:rPr>
          <w:rFonts w:ascii="Calibri" w:eastAsia="黑体" w:hAnsi="Calibri" w:cs="Calibri"/>
          <w:kern w:val="0"/>
          <w:sz w:val="32"/>
          <w:szCs w:val="32"/>
        </w:rPr>
        <w:t> </w:t>
      </w:r>
    </w:p>
    <w:p w:rsidR="0095598C" w:rsidRPr="0095598C" w:rsidRDefault="0095598C" w:rsidP="0095598C">
      <w:pPr>
        <w:widowControl/>
        <w:spacing w:line="600" w:lineRule="atLeast"/>
        <w:jc w:val="center"/>
        <w:rPr>
          <w:rFonts w:ascii="宋体" w:eastAsia="宋体" w:hAnsi="宋体" w:cs="宋体"/>
          <w:kern w:val="0"/>
          <w:sz w:val="24"/>
          <w:szCs w:val="24"/>
        </w:rPr>
      </w:pPr>
      <w:r w:rsidRPr="0095598C">
        <w:rPr>
          <w:rFonts w:ascii="方正大标宋简体" w:eastAsia="方正大标宋简体" w:hAnsi="宋体" w:cs="宋体" w:hint="eastAsia"/>
          <w:kern w:val="0"/>
          <w:sz w:val="44"/>
          <w:szCs w:val="44"/>
        </w:rPr>
        <w:t>咸宁市金融管理机构评分标准</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5"/>
        <w:gridCol w:w="1176"/>
        <w:gridCol w:w="5045"/>
      </w:tblGrid>
      <w:tr w:rsidR="0095598C" w:rsidRPr="0095598C" w:rsidTr="0095598C">
        <w:trPr>
          <w:trHeight w:val="504"/>
          <w:jc w:val="center"/>
        </w:trPr>
        <w:tc>
          <w:tcPr>
            <w:tcW w:w="8801"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黑体" w:eastAsia="黑体" w:hAnsi="黑体" w:cs="宋体" w:hint="eastAsia"/>
                <w:kern w:val="0"/>
                <w:sz w:val="24"/>
                <w:szCs w:val="24"/>
              </w:rPr>
              <w:t>人民银行咸宁市中心支行</w:t>
            </w:r>
          </w:p>
        </w:tc>
      </w:tr>
      <w:tr w:rsidR="0095598C" w:rsidRPr="0095598C" w:rsidTr="0095598C">
        <w:trPr>
          <w:trHeight w:val="592"/>
          <w:jc w:val="center"/>
        </w:trPr>
        <w:tc>
          <w:tcPr>
            <w:tcW w:w="22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黑体" w:eastAsia="黑体" w:hAnsi="黑体" w:cs="宋体" w:hint="eastAsia"/>
                <w:color w:val="000000"/>
                <w:kern w:val="0"/>
                <w:sz w:val="24"/>
                <w:szCs w:val="24"/>
              </w:rPr>
              <w:t>指</w:t>
            </w:r>
            <w:r w:rsidRPr="0095598C">
              <w:rPr>
                <w:rFonts w:ascii="Calibri" w:eastAsia="黑体" w:hAnsi="Calibri" w:cs="Calibri"/>
                <w:color w:val="000000"/>
                <w:kern w:val="0"/>
                <w:sz w:val="24"/>
                <w:szCs w:val="24"/>
              </w:rPr>
              <w:t> </w:t>
            </w:r>
            <w:r w:rsidRPr="0095598C">
              <w:rPr>
                <w:rFonts w:ascii="黑体" w:eastAsia="黑体" w:hAnsi="黑体" w:cs="宋体" w:hint="eastAsia"/>
                <w:color w:val="000000"/>
                <w:kern w:val="0"/>
                <w:sz w:val="24"/>
                <w:szCs w:val="24"/>
              </w:rPr>
              <w:t xml:space="preserve"> 标</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黑体" w:eastAsia="黑体" w:hAnsi="黑体" w:cs="宋体" w:hint="eastAsia"/>
                <w:color w:val="000000"/>
                <w:kern w:val="0"/>
                <w:sz w:val="24"/>
                <w:szCs w:val="24"/>
              </w:rPr>
              <w:t>分值</w:t>
            </w:r>
          </w:p>
        </w:tc>
        <w:tc>
          <w:tcPr>
            <w:tcW w:w="5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黑体" w:eastAsia="黑体" w:hAnsi="黑体" w:cs="宋体" w:hint="eastAsia"/>
                <w:color w:val="000000"/>
                <w:kern w:val="0"/>
                <w:sz w:val="24"/>
                <w:szCs w:val="24"/>
              </w:rPr>
              <w:t>评 分 标 准</w:t>
            </w:r>
          </w:p>
        </w:tc>
      </w:tr>
      <w:tr w:rsidR="0095598C" w:rsidRPr="0095598C" w:rsidTr="0095598C">
        <w:trPr>
          <w:trHeight w:val="705"/>
          <w:jc w:val="center"/>
        </w:trPr>
        <w:tc>
          <w:tcPr>
            <w:tcW w:w="22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left="-70" w:right="-65" w:hanging="1"/>
              <w:jc w:val="center"/>
              <w:rPr>
                <w:rFonts w:ascii="宋体" w:eastAsia="宋体" w:hAnsi="宋体" w:cs="宋体"/>
                <w:kern w:val="0"/>
                <w:sz w:val="24"/>
                <w:szCs w:val="24"/>
              </w:rPr>
            </w:pPr>
            <w:r w:rsidRPr="0095598C">
              <w:rPr>
                <w:rFonts w:ascii="仿宋_GB2312" w:eastAsia="仿宋_GB2312" w:hAnsi="宋体" w:cs="宋体" w:hint="eastAsia"/>
                <w:color w:val="000000"/>
                <w:spacing w:val="-10"/>
                <w:kern w:val="0"/>
                <w:sz w:val="24"/>
                <w:szCs w:val="24"/>
              </w:rPr>
              <w:t>贷款增幅</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20</w:t>
            </w:r>
          </w:p>
        </w:tc>
        <w:tc>
          <w:tcPr>
            <w:tcW w:w="5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贷款增幅全省排名较上年度上升的得满分20分，每下降一个位次减2分；</w:t>
            </w:r>
          </w:p>
        </w:tc>
      </w:tr>
      <w:tr w:rsidR="0095598C" w:rsidRPr="0095598C" w:rsidTr="0095598C">
        <w:trPr>
          <w:trHeight w:val="705"/>
          <w:jc w:val="center"/>
        </w:trPr>
        <w:tc>
          <w:tcPr>
            <w:tcW w:w="22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left="-84" w:right="-94"/>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增量贷存比</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20</w:t>
            </w:r>
          </w:p>
        </w:tc>
        <w:tc>
          <w:tcPr>
            <w:tcW w:w="5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增量贷存比全省排名较上年度上升的得满分20分，每下降一个位次减2分；</w:t>
            </w:r>
          </w:p>
        </w:tc>
      </w:tr>
      <w:tr w:rsidR="0095598C" w:rsidRPr="0095598C" w:rsidTr="0095598C">
        <w:trPr>
          <w:trHeight w:val="705"/>
          <w:jc w:val="center"/>
        </w:trPr>
        <w:tc>
          <w:tcPr>
            <w:tcW w:w="22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left="-84" w:right="-94"/>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lastRenderedPageBreak/>
              <w:t>金融信用环境</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20</w:t>
            </w:r>
          </w:p>
        </w:tc>
        <w:tc>
          <w:tcPr>
            <w:tcW w:w="5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金融信用环境建设在全省考核排名前6名得满分，每下降一个位次减2分；</w:t>
            </w:r>
          </w:p>
        </w:tc>
      </w:tr>
      <w:tr w:rsidR="0095598C" w:rsidRPr="0095598C" w:rsidTr="0095598C">
        <w:trPr>
          <w:trHeight w:val="1142"/>
          <w:jc w:val="center"/>
        </w:trPr>
        <w:tc>
          <w:tcPr>
            <w:tcW w:w="22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left="-99" w:right="-94" w:firstLine="11"/>
              <w:jc w:val="center"/>
              <w:rPr>
                <w:rFonts w:ascii="宋体" w:eastAsia="宋体" w:hAnsi="宋体" w:cs="宋体"/>
                <w:kern w:val="0"/>
                <w:sz w:val="24"/>
                <w:szCs w:val="24"/>
              </w:rPr>
            </w:pPr>
            <w:r w:rsidRPr="0095598C">
              <w:rPr>
                <w:rFonts w:ascii="仿宋_GB2312" w:eastAsia="仿宋_GB2312" w:hAnsi="宋体" w:cs="宋体" w:hint="eastAsia"/>
                <w:color w:val="000000"/>
                <w:spacing w:val="-10"/>
                <w:kern w:val="0"/>
                <w:sz w:val="24"/>
                <w:szCs w:val="24"/>
              </w:rPr>
              <w:t>小</w:t>
            </w:r>
            <w:proofErr w:type="gramStart"/>
            <w:r w:rsidRPr="0095598C">
              <w:rPr>
                <w:rFonts w:ascii="仿宋_GB2312" w:eastAsia="仿宋_GB2312" w:hAnsi="宋体" w:cs="宋体" w:hint="eastAsia"/>
                <w:color w:val="000000"/>
                <w:spacing w:val="-10"/>
                <w:kern w:val="0"/>
                <w:sz w:val="24"/>
                <w:szCs w:val="24"/>
              </w:rPr>
              <w:t>微企业</w:t>
            </w:r>
            <w:proofErr w:type="gramEnd"/>
            <w:r w:rsidRPr="0095598C">
              <w:rPr>
                <w:rFonts w:ascii="仿宋_GB2312" w:eastAsia="仿宋_GB2312" w:hAnsi="宋体" w:cs="宋体" w:hint="eastAsia"/>
                <w:color w:val="000000"/>
                <w:spacing w:val="-10"/>
                <w:kern w:val="0"/>
                <w:sz w:val="24"/>
                <w:szCs w:val="24"/>
              </w:rPr>
              <w:t>贷款增速</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10</w:t>
            </w:r>
          </w:p>
        </w:tc>
        <w:tc>
          <w:tcPr>
            <w:tcW w:w="5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小</w:t>
            </w:r>
            <w:proofErr w:type="gramStart"/>
            <w:r w:rsidRPr="0095598C">
              <w:rPr>
                <w:rFonts w:ascii="仿宋_GB2312" w:eastAsia="仿宋_GB2312" w:hAnsi="宋体" w:cs="宋体" w:hint="eastAsia"/>
                <w:spacing w:val="6"/>
                <w:kern w:val="0"/>
                <w:sz w:val="24"/>
                <w:szCs w:val="24"/>
              </w:rPr>
              <w:t>微企业</w:t>
            </w:r>
            <w:proofErr w:type="gramEnd"/>
            <w:r w:rsidRPr="0095598C">
              <w:rPr>
                <w:rFonts w:ascii="仿宋_GB2312" w:eastAsia="仿宋_GB2312" w:hAnsi="宋体" w:cs="宋体" w:hint="eastAsia"/>
                <w:spacing w:val="6"/>
                <w:kern w:val="0"/>
                <w:sz w:val="24"/>
                <w:szCs w:val="24"/>
              </w:rPr>
              <w:t>贷款增速实现“三个不低于”目标（不低于各项贷款平均增速、贷款户数不低于上年同期户数、申</w:t>
            </w:r>
            <w:proofErr w:type="gramStart"/>
            <w:r w:rsidRPr="0095598C">
              <w:rPr>
                <w:rFonts w:ascii="仿宋_GB2312" w:eastAsia="仿宋_GB2312" w:hAnsi="宋体" w:cs="宋体" w:hint="eastAsia"/>
                <w:spacing w:val="6"/>
                <w:kern w:val="0"/>
                <w:sz w:val="24"/>
                <w:szCs w:val="24"/>
              </w:rPr>
              <w:t>贷获得</w:t>
            </w:r>
            <w:proofErr w:type="gramEnd"/>
            <w:r w:rsidRPr="0095598C">
              <w:rPr>
                <w:rFonts w:ascii="仿宋_GB2312" w:eastAsia="仿宋_GB2312" w:hAnsi="宋体" w:cs="宋体" w:hint="eastAsia"/>
                <w:spacing w:val="6"/>
                <w:kern w:val="0"/>
                <w:sz w:val="24"/>
                <w:szCs w:val="24"/>
              </w:rPr>
              <w:t>率不低于上年同期水平）的得满分，未实现“三个不低于”目标的，未实现的每项减5分；</w:t>
            </w:r>
          </w:p>
        </w:tc>
      </w:tr>
      <w:tr w:rsidR="0095598C" w:rsidRPr="0095598C" w:rsidTr="0095598C">
        <w:trPr>
          <w:trHeight w:val="1671"/>
          <w:jc w:val="center"/>
        </w:trPr>
        <w:tc>
          <w:tcPr>
            <w:tcW w:w="22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tabs>
                <w:tab w:val="left" w:pos="408"/>
              </w:tabs>
              <w:spacing w:line="300" w:lineRule="atLeast"/>
              <w:ind w:left="-85" w:right="-123" w:hanging="1"/>
              <w:jc w:val="center"/>
              <w:rPr>
                <w:rFonts w:ascii="宋体" w:eastAsia="宋体" w:hAnsi="宋体" w:cs="宋体"/>
                <w:kern w:val="0"/>
                <w:sz w:val="24"/>
                <w:szCs w:val="24"/>
              </w:rPr>
            </w:pPr>
            <w:r w:rsidRPr="0095598C">
              <w:rPr>
                <w:rFonts w:ascii="仿宋_GB2312" w:eastAsia="仿宋_GB2312" w:hAnsi="宋体" w:cs="宋体" w:hint="eastAsia"/>
                <w:color w:val="000000"/>
                <w:spacing w:val="-10"/>
                <w:kern w:val="0"/>
                <w:sz w:val="24"/>
                <w:szCs w:val="24"/>
              </w:rPr>
              <w:t>金融改革创新</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10</w:t>
            </w:r>
          </w:p>
        </w:tc>
        <w:tc>
          <w:tcPr>
            <w:tcW w:w="5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推进金融机构信贷机制、信贷产品创新，创新银企对接平台，满足市场主体多样化信贷需求。金融改革创新工作得到国家、省（或上级主管部门）表彰肯定或推广运用的该项得满分；</w:t>
            </w:r>
          </w:p>
        </w:tc>
      </w:tr>
      <w:tr w:rsidR="0095598C" w:rsidRPr="0095598C" w:rsidTr="0095598C">
        <w:trPr>
          <w:trHeight w:val="1435"/>
          <w:jc w:val="center"/>
        </w:trPr>
        <w:tc>
          <w:tcPr>
            <w:tcW w:w="22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left="-59" w:right="-65" w:hanging="14"/>
              <w:jc w:val="center"/>
              <w:rPr>
                <w:rFonts w:ascii="宋体" w:eastAsia="宋体" w:hAnsi="宋体" w:cs="宋体"/>
                <w:kern w:val="0"/>
                <w:sz w:val="24"/>
                <w:szCs w:val="24"/>
              </w:rPr>
            </w:pPr>
            <w:r w:rsidRPr="0095598C">
              <w:rPr>
                <w:rFonts w:ascii="仿宋_GB2312" w:eastAsia="仿宋_GB2312" w:hAnsi="宋体" w:cs="宋体" w:hint="eastAsia"/>
                <w:color w:val="000000"/>
                <w:spacing w:val="-10"/>
                <w:kern w:val="0"/>
                <w:sz w:val="24"/>
                <w:szCs w:val="24"/>
              </w:rPr>
              <w:t>国库业务</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10</w:t>
            </w:r>
          </w:p>
        </w:tc>
        <w:tc>
          <w:tcPr>
            <w:tcW w:w="5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认真经理国库业务，及时、准确、安全办理各项预算收入的入库、分解、划拨、退付和各项预算支出的拨付、清算、核算、对账等。按照规定做好预算单位账户管理；</w:t>
            </w:r>
          </w:p>
        </w:tc>
      </w:tr>
      <w:tr w:rsidR="0095598C" w:rsidRPr="0095598C" w:rsidTr="0095598C">
        <w:trPr>
          <w:trHeight w:val="1882"/>
          <w:jc w:val="center"/>
        </w:trPr>
        <w:tc>
          <w:tcPr>
            <w:tcW w:w="22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left="-70" w:right="-94" w:hanging="1"/>
              <w:jc w:val="center"/>
              <w:rPr>
                <w:rFonts w:ascii="宋体" w:eastAsia="宋体" w:hAnsi="宋体" w:cs="宋体"/>
                <w:kern w:val="0"/>
                <w:sz w:val="24"/>
                <w:szCs w:val="24"/>
              </w:rPr>
            </w:pPr>
            <w:r w:rsidRPr="0095598C">
              <w:rPr>
                <w:rFonts w:ascii="仿宋_GB2312" w:eastAsia="仿宋_GB2312" w:hAnsi="宋体" w:cs="宋体" w:hint="eastAsia"/>
                <w:color w:val="000000"/>
                <w:spacing w:val="-10"/>
                <w:kern w:val="0"/>
                <w:sz w:val="24"/>
                <w:szCs w:val="24"/>
              </w:rPr>
              <w:t>市委、市政府</w:t>
            </w:r>
          </w:p>
          <w:p w:rsidR="0095598C" w:rsidRPr="0095598C" w:rsidRDefault="0095598C" w:rsidP="0095598C">
            <w:pPr>
              <w:widowControl/>
              <w:spacing w:line="300" w:lineRule="atLeast"/>
              <w:ind w:left="-70" w:right="-94" w:hanging="1"/>
              <w:jc w:val="center"/>
              <w:rPr>
                <w:rFonts w:ascii="宋体" w:eastAsia="宋体" w:hAnsi="宋体" w:cs="宋体"/>
                <w:kern w:val="0"/>
                <w:sz w:val="24"/>
                <w:szCs w:val="24"/>
              </w:rPr>
            </w:pPr>
            <w:r w:rsidRPr="0095598C">
              <w:rPr>
                <w:rFonts w:ascii="仿宋_GB2312" w:eastAsia="仿宋_GB2312" w:hAnsi="宋体" w:cs="宋体" w:hint="eastAsia"/>
                <w:color w:val="000000"/>
                <w:spacing w:val="-10"/>
                <w:kern w:val="0"/>
                <w:sz w:val="24"/>
                <w:szCs w:val="24"/>
              </w:rPr>
              <w:t>安排工作</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10</w:t>
            </w:r>
          </w:p>
        </w:tc>
        <w:tc>
          <w:tcPr>
            <w:tcW w:w="5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主动为市委、市政府出谋划策，按时报送报表及金融运行分析，及时完成市委、市政府交办的各项专项工作，支持精准扶贫、防汛救灾等工作。工作落实得力，完成市委、市政府年度工作目标管理任务的该项得满分；</w:t>
            </w:r>
          </w:p>
        </w:tc>
      </w:tr>
      <w:tr w:rsidR="0095598C" w:rsidRPr="0095598C" w:rsidTr="0095598C">
        <w:trPr>
          <w:trHeight w:val="1294"/>
          <w:jc w:val="center"/>
        </w:trPr>
        <w:tc>
          <w:tcPr>
            <w:tcW w:w="22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left="13" w:right="121" w:hanging="84"/>
              <w:jc w:val="center"/>
              <w:rPr>
                <w:rFonts w:ascii="宋体" w:eastAsia="宋体" w:hAnsi="宋体" w:cs="宋体"/>
                <w:kern w:val="0"/>
                <w:sz w:val="24"/>
                <w:szCs w:val="24"/>
              </w:rPr>
            </w:pPr>
            <w:r w:rsidRPr="0095598C">
              <w:rPr>
                <w:rFonts w:ascii="仿宋_GB2312" w:eastAsia="仿宋_GB2312" w:hAnsi="宋体" w:cs="宋体" w:hint="eastAsia"/>
                <w:color w:val="000000"/>
                <w:spacing w:val="-10"/>
                <w:kern w:val="0"/>
                <w:sz w:val="24"/>
                <w:szCs w:val="24"/>
              </w:rPr>
              <w:t>加分项</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5</w:t>
            </w:r>
          </w:p>
        </w:tc>
        <w:tc>
          <w:tcPr>
            <w:tcW w:w="5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496"/>
              <w:jc w:val="left"/>
              <w:rPr>
                <w:rFonts w:ascii="宋体" w:eastAsia="宋体" w:hAnsi="宋体" w:cs="宋体"/>
                <w:kern w:val="0"/>
                <w:sz w:val="24"/>
                <w:szCs w:val="24"/>
              </w:rPr>
            </w:pPr>
            <w:proofErr w:type="gramStart"/>
            <w:r w:rsidRPr="0095598C">
              <w:rPr>
                <w:rFonts w:ascii="仿宋_GB2312" w:eastAsia="仿宋_GB2312" w:hAnsi="宋体" w:cs="宋体" w:hint="eastAsia"/>
                <w:spacing w:val="6"/>
                <w:kern w:val="0"/>
                <w:sz w:val="24"/>
                <w:szCs w:val="24"/>
              </w:rPr>
              <w:t>支持抓好</w:t>
            </w:r>
            <w:proofErr w:type="gramEnd"/>
            <w:r w:rsidRPr="0095598C">
              <w:rPr>
                <w:rFonts w:ascii="仿宋_GB2312" w:eastAsia="仿宋_GB2312" w:hAnsi="宋体" w:cs="宋体" w:hint="eastAsia"/>
                <w:spacing w:val="6"/>
                <w:kern w:val="0"/>
                <w:sz w:val="24"/>
                <w:szCs w:val="24"/>
              </w:rPr>
              <w:t>招商引资工作，为咸宁经济发展提供更多的“源头活水”和项目支撑，引进企业或项目落地见效的得满分（该项不减分）。</w:t>
            </w:r>
          </w:p>
        </w:tc>
      </w:tr>
      <w:tr w:rsidR="0095598C" w:rsidRPr="0095598C" w:rsidTr="0095598C">
        <w:trPr>
          <w:trHeight w:val="710"/>
          <w:jc w:val="center"/>
        </w:trPr>
        <w:tc>
          <w:tcPr>
            <w:tcW w:w="880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黑体" w:eastAsia="黑体" w:hAnsi="黑体" w:cs="宋体" w:hint="eastAsia"/>
                <w:kern w:val="0"/>
                <w:sz w:val="24"/>
                <w:szCs w:val="24"/>
              </w:rPr>
              <w:t>咸宁银</w:t>
            </w:r>
            <w:proofErr w:type="gramStart"/>
            <w:r w:rsidRPr="0095598C">
              <w:rPr>
                <w:rFonts w:ascii="黑体" w:eastAsia="黑体" w:hAnsi="黑体" w:cs="宋体" w:hint="eastAsia"/>
                <w:kern w:val="0"/>
                <w:sz w:val="24"/>
                <w:szCs w:val="24"/>
              </w:rPr>
              <w:t>监分局</w:t>
            </w:r>
            <w:proofErr w:type="gramEnd"/>
          </w:p>
        </w:tc>
      </w:tr>
      <w:tr w:rsidR="0095598C" w:rsidRPr="0095598C" w:rsidTr="0095598C">
        <w:trPr>
          <w:trHeight w:val="1304"/>
          <w:jc w:val="center"/>
        </w:trPr>
        <w:tc>
          <w:tcPr>
            <w:tcW w:w="22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left="13" w:firstLine="546"/>
              <w:jc w:val="left"/>
              <w:rPr>
                <w:rFonts w:ascii="宋体" w:eastAsia="宋体" w:hAnsi="宋体" w:cs="宋体"/>
                <w:kern w:val="0"/>
                <w:sz w:val="24"/>
                <w:szCs w:val="24"/>
              </w:rPr>
            </w:pPr>
            <w:r w:rsidRPr="0095598C">
              <w:rPr>
                <w:rFonts w:ascii="仿宋_GB2312" w:eastAsia="仿宋_GB2312" w:hAnsi="宋体" w:cs="宋体" w:hint="eastAsia"/>
                <w:color w:val="000000"/>
                <w:spacing w:val="-10"/>
                <w:kern w:val="0"/>
                <w:sz w:val="24"/>
                <w:szCs w:val="24"/>
              </w:rPr>
              <w:t>贷款增幅</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20</w:t>
            </w:r>
          </w:p>
        </w:tc>
        <w:tc>
          <w:tcPr>
            <w:tcW w:w="5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贷款增幅全省排名较上年度上升的得满分20分，每下降一个位次减2分；</w:t>
            </w:r>
          </w:p>
        </w:tc>
      </w:tr>
      <w:tr w:rsidR="0095598C" w:rsidRPr="0095598C" w:rsidTr="0095598C">
        <w:trPr>
          <w:trHeight w:val="1279"/>
          <w:jc w:val="center"/>
        </w:trPr>
        <w:tc>
          <w:tcPr>
            <w:tcW w:w="22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增量贷存比</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20</w:t>
            </w:r>
          </w:p>
        </w:tc>
        <w:tc>
          <w:tcPr>
            <w:tcW w:w="5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增量贷存比全省排名较上年度上升的得满分20分，每下降一个位次减2分；</w:t>
            </w:r>
          </w:p>
        </w:tc>
      </w:tr>
      <w:tr w:rsidR="0095598C" w:rsidRPr="0095598C" w:rsidTr="0095598C">
        <w:trPr>
          <w:trHeight w:val="1585"/>
          <w:jc w:val="center"/>
        </w:trPr>
        <w:tc>
          <w:tcPr>
            <w:tcW w:w="22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小</w:t>
            </w:r>
            <w:proofErr w:type="gramStart"/>
            <w:r w:rsidRPr="0095598C">
              <w:rPr>
                <w:rFonts w:ascii="仿宋_GB2312" w:eastAsia="仿宋_GB2312" w:hAnsi="宋体" w:cs="宋体" w:hint="eastAsia"/>
                <w:color w:val="000000"/>
                <w:kern w:val="0"/>
                <w:sz w:val="24"/>
                <w:szCs w:val="24"/>
              </w:rPr>
              <w:t>微企业</w:t>
            </w:r>
            <w:proofErr w:type="gramEnd"/>
            <w:r w:rsidRPr="0095598C">
              <w:rPr>
                <w:rFonts w:ascii="仿宋_GB2312" w:eastAsia="仿宋_GB2312" w:hAnsi="宋体" w:cs="宋体" w:hint="eastAsia"/>
                <w:color w:val="000000"/>
                <w:kern w:val="0"/>
                <w:sz w:val="24"/>
                <w:szCs w:val="24"/>
              </w:rPr>
              <w:t>贷款增速</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20</w:t>
            </w:r>
          </w:p>
        </w:tc>
        <w:tc>
          <w:tcPr>
            <w:tcW w:w="5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小</w:t>
            </w:r>
            <w:proofErr w:type="gramStart"/>
            <w:r w:rsidRPr="0095598C">
              <w:rPr>
                <w:rFonts w:ascii="仿宋_GB2312" w:eastAsia="仿宋_GB2312" w:hAnsi="宋体" w:cs="宋体" w:hint="eastAsia"/>
                <w:spacing w:val="6"/>
                <w:kern w:val="0"/>
                <w:sz w:val="24"/>
                <w:szCs w:val="24"/>
              </w:rPr>
              <w:t>微企业</w:t>
            </w:r>
            <w:proofErr w:type="gramEnd"/>
            <w:r w:rsidRPr="0095598C">
              <w:rPr>
                <w:rFonts w:ascii="仿宋_GB2312" w:eastAsia="仿宋_GB2312" w:hAnsi="宋体" w:cs="宋体" w:hint="eastAsia"/>
                <w:spacing w:val="6"/>
                <w:kern w:val="0"/>
                <w:sz w:val="24"/>
                <w:szCs w:val="24"/>
              </w:rPr>
              <w:t>贷款增速实现“三个不低于”目标（不低于各项贷款平均增速、贷款户数不低于上年同期户数、申</w:t>
            </w:r>
            <w:proofErr w:type="gramStart"/>
            <w:r w:rsidRPr="0095598C">
              <w:rPr>
                <w:rFonts w:ascii="仿宋_GB2312" w:eastAsia="仿宋_GB2312" w:hAnsi="宋体" w:cs="宋体" w:hint="eastAsia"/>
                <w:spacing w:val="6"/>
                <w:kern w:val="0"/>
                <w:sz w:val="24"/>
                <w:szCs w:val="24"/>
              </w:rPr>
              <w:t>贷获得</w:t>
            </w:r>
            <w:proofErr w:type="gramEnd"/>
            <w:r w:rsidRPr="0095598C">
              <w:rPr>
                <w:rFonts w:ascii="仿宋_GB2312" w:eastAsia="仿宋_GB2312" w:hAnsi="宋体" w:cs="宋体" w:hint="eastAsia"/>
                <w:spacing w:val="6"/>
                <w:kern w:val="0"/>
                <w:sz w:val="24"/>
                <w:szCs w:val="24"/>
              </w:rPr>
              <w:t>率不低于上年同期水平）的得满分，未实现“三个不低于”目标的，未实现的每项减5分；</w:t>
            </w:r>
          </w:p>
        </w:tc>
      </w:tr>
      <w:tr w:rsidR="0095598C" w:rsidRPr="0095598C" w:rsidTr="0095598C">
        <w:trPr>
          <w:trHeight w:val="1295"/>
          <w:jc w:val="center"/>
        </w:trPr>
        <w:tc>
          <w:tcPr>
            <w:tcW w:w="22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lastRenderedPageBreak/>
              <w:t>金融机构引进</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10</w:t>
            </w:r>
            <w:r w:rsidRPr="0095598C">
              <w:rPr>
                <w:rFonts w:ascii="仿宋_GB2312" w:eastAsia="仿宋_GB2312" w:hAnsi="宋体" w:cs="宋体" w:hint="eastAsia"/>
                <w:color w:val="000000"/>
                <w:kern w:val="0"/>
                <w:sz w:val="24"/>
                <w:szCs w:val="24"/>
              </w:rPr>
              <w:t> </w:t>
            </w:r>
            <w:r w:rsidRPr="0095598C">
              <w:rPr>
                <w:rFonts w:ascii="仿宋_GB2312" w:eastAsia="仿宋_GB2312" w:hAnsi="宋体" w:cs="宋体" w:hint="eastAsia"/>
                <w:color w:val="000000"/>
                <w:kern w:val="0"/>
                <w:sz w:val="24"/>
                <w:szCs w:val="24"/>
              </w:rPr>
              <w:t xml:space="preserve"> </w:t>
            </w:r>
          </w:p>
        </w:tc>
        <w:tc>
          <w:tcPr>
            <w:tcW w:w="5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年度新引进或设立1家银行业金融机构或分支机构、新建或设立金融机构基层网点的得满分，未完成目标的根据工作计划和工作进度得分；</w:t>
            </w:r>
          </w:p>
        </w:tc>
      </w:tr>
      <w:tr w:rsidR="0095598C" w:rsidRPr="0095598C" w:rsidTr="0095598C">
        <w:trPr>
          <w:trHeight w:val="1586"/>
          <w:jc w:val="center"/>
        </w:trPr>
        <w:tc>
          <w:tcPr>
            <w:tcW w:w="22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金融改革创新</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10</w:t>
            </w:r>
          </w:p>
        </w:tc>
        <w:tc>
          <w:tcPr>
            <w:tcW w:w="5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推进金融机构信贷机制、信贷产品创新，创新银企对接平台，满足市场主体多样化信贷需求。金融改革创新工作得到国家、省（或上级主管部门）表彰肯定或推广运用的该项得满分；</w:t>
            </w:r>
          </w:p>
        </w:tc>
      </w:tr>
      <w:tr w:rsidR="0095598C" w:rsidRPr="0095598C" w:rsidTr="0095598C">
        <w:trPr>
          <w:trHeight w:val="1449"/>
          <w:jc w:val="center"/>
        </w:trPr>
        <w:tc>
          <w:tcPr>
            <w:tcW w:w="22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金融风险防范</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10</w:t>
            </w:r>
          </w:p>
        </w:tc>
        <w:tc>
          <w:tcPr>
            <w:tcW w:w="5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加强对银行业金融机构的监管，严格查处和整治银行业违法违规行为，有效防范和化解金融风险，守住不发生系统性、区域性、行业性金融风险底线的该项得满分；</w:t>
            </w:r>
          </w:p>
        </w:tc>
      </w:tr>
      <w:tr w:rsidR="0095598C" w:rsidRPr="0095598C" w:rsidTr="0095598C">
        <w:trPr>
          <w:trHeight w:val="2004"/>
          <w:jc w:val="center"/>
        </w:trPr>
        <w:tc>
          <w:tcPr>
            <w:tcW w:w="22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spacing w:val="-10"/>
                <w:kern w:val="0"/>
                <w:sz w:val="24"/>
                <w:szCs w:val="24"/>
              </w:rPr>
              <w:t>市委、市政府</w:t>
            </w:r>
          </w:p>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spacing w:val="-10"/>
                <w:kern w:val="0"/>
                <w:sz w:val="24"/>
                <w:szCs w:val="24"/>
              </w:rPr>
              <w:t>安排工作</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10</w:t>
            </w:r>
            <w:r w:rsidRPr="0095598C">
              <w:rPr>
                <w:rFonts w:ascii="仿宋_GB2312" w:eastAsia="仿宋_GB2312" w:hAnsi="宋体" w:cs="宋体" w:hint="eastAsia"/>
                <w:color w:val="000000"/>
                <w:kern w:val="0"/>
                <w:sz w:val="24"/>
                <w:szCs w:val="24"/>
              </w:rPr>
              <w:t>   </w:t>
            </w:r>
            <w:r w:rsidRPr="0095598C">
              <w:rPr>
                <w:rFonts w:ascii="仿宋_GB2312" w:eastAsia="仿宋_GB2312" w:hAnsi="宋体" w:cs="宋体" w:hint="eastAsia"/>
                <w:color w:val="000000"/>
                <w:kern w:val="0"/>
                <w:sz w:val="24"/>
                <w:szCs w:val="24"/>
              </w:rPr>
              <w:t xml:space="preserve"> </w:t>
            </w:r>
          </w:p>
        </w:tc>
        <w:tc>
          <w:tcPr>
            <w:tcW w:w="5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主动为市委、市政府出谋划策，按时报送报表及金融运行分析，及时完成市委、市政府交办的各项专项工作，支持精准扶贫、防汛救灾等工作。工作落实得力，完成市委、市政府年度工作目标管理任务的该项得满分；</w:t>
            </w:r>
          </w:p>
        </w:tc>
      </w:tr>
      <w:tr w:rsidR="0095598C" w:rsidRPr="0095598C" w:rsidTr="0095598C">
        <w:trPr>
          <w:trHeight w:val="1326"/>
          <w:jc w:val="center"/>
        </w:trPr>
        <w:tc>
          <w:tcPr>
            <w:tcW w:w="22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spacing w:val="-10"/>
                <w:kern w:val="0"/>
                <w:sz w:val="24"/>
                <w:szCs w:val="24"/>
              </w:rPr>
              <w:t>加分项</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5</w:t>
            </w:r>
          </w:p>
        </w:tc>
        <w:tc>
          <w:tcPr>
            <w:tcW w:w="5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496"/>
              <w:jc w:val="left"/>
              <w:rPr>
                <w:rFonts w:ascii="宋体" w:eastAsia="宋体" w:hAnsi="宋体" w:cs="宋体"/>
                <w:kern w:val="0"/>
                <w:sz w:val="24"/>
                <w:szCs w:val="24"/>
              </w:rPr>
            </w:pPr>
            <w:proofErr w:type="gramStart"/>
            <w:r w:rsidRPr="0095598C">
              <w:rPr>
                <w:rFonts w:ascii="仿宋_GB2312" w:eastAsia="仿宋_GB2312" w:hAnsi="宋体" w:cs="宋体" w:hint="eastAsia"/>
                <w:spacing w:val="6"/>
                <w:kern w:val="0"/>
                <w:sz w:val="24"/>
                <w:szCs w:val="24"/>
              </w:rPr>
              <w:t>支持抓好</w:t>
            </w:r>
            <w:proofErr w:type="gramEnd"/>
            <w:r w:rsidRPr="0095598C">
              <w:rPr>
                <w:rFonts w:ascii="仿宋_GB2312" w:eastAsia="仿宋_GB2312" w:hAnsi="宋体" w:cs="宋体" w:hint="eastAsia"/>
                <w:spacing w:val="6"/>
                <w:kern w:val="0"/>
                <w:sz w:val="24"/>
                <w:szCs w:val="24"/>
              </w:rPr>
              <w:t>招商引资工作，为咸宁经济发展提供更多的“源头活水”和项目支撑，引进企业或项目落地见效的该项得满分（该项不减分）。</w:t>
            </w:r>
          </w:p>
        </w:tc>
      </w:tr>
      <w:tr w:rsidR="0095598C" w:rsidRPr="0095598C" w:rsidTr="0095598C">
        <w:trPr>
          <w:trHeight w:val="601"/>
          <w:jc w:val="center"/>
        </w:trPr>
        <w:tc>
          <w:tcPr>
            <w:tcW w:w="880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黑体" w:eastAsia="黑体" w:hAnsi="黑体" w:cs="宋体" w:hint="eastAsia"/>
                <w:kern w:val="0"/>
                <w:sz w:val="24"/>
                <w:szCs w:val="24"/>
              </w:rPr>
              <w:t>市保险行业协会</w:t>
            </w:r>
          </w:p>
        </w:tc>
      </w:tr>
      <w:tr w:rsidR="0095598C" w:rsidRPr="0095598C" w:rsidTr="0095598C">
        <w:trPr>
          <w:trHeight w:val="1113"/>
          <w:jc w:val="center"/>
        </w:trPr>
        <w:tc>
          <w:tcPr>
            <w:tcW w:w="22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综合工作</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20</w:t>
            </w:r>
          </w:p>
        </w:tc>
        <w:tc>
          <w:tcPr>
            <w:tcW w:w="5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保险工作考核全省市州排名第6名得基本分16分，每上升一个位次加2分，加满20分为止，每下降一个位次减2分；</w:t>
            </w:r>
          </w:p>
        </w:tc>
      </w:tr>
      <w:tr w:rsidR="0095598C" w:rsidRPr="0095598C" w:rsidTr="0095598C">
        <w:trPr>
          <w:trHeight w:val="851"/>
          <w:jc w:val="center"/>
        </w:trPr>
        <w:tc>
          <w:tcPr>
            <w:tcW w:w="22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left="13" w:hanging="84"/>
              <w:jc w:val="center"/>
              <w:rPr>
                <w:rFonts w:ascii="宋体" w:eastAsia="宋体" w:hAnsi="宋体" w:cs="宋体"/>
                <w:kern w:val="0"/>
                <w:sz w:val="24"/>
                <w:szCs w:val="24"/>
              </w:rPr>
            </w:pPr>
            <w:r w:rsidRPr="0095598C">
              <w:rPr>
                <w:rFonts w:ascii="仿宋_GB2312" w:eastAsia="仿宋_GB2312" w:hAnsi="宋体" w:cs="宋体" w:hint="eastAsia"/>
                <w:color w:val="000000"/>
                <w:spacing w:val="-10"/>
                <w:kern w:val="0"/>
                <w:sz w:val="24"/>
                <w:szCs w:val="24"/>
              </w:rPr>
              <w:t>保费收入</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 xml:space="preserve">20 </w:t>
            </w:r>
          </w:p>
        </w:tc>
        <w:tc>
          <w:tcPr>
            <w:tcW w:w="5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保费收入增长达到15%得15分,每增长1个百分点加1分，加满20分为止，每减少一个百分点减1分；</w:t>
            </w:r>
          </w:p>
        </w:tc>
      </w:tr>
      <w:tr w:rsidR="0095598C" w:rsidRPr="0095598C" w:rsidTr="0095598C">
        <w:trPr>
          <w:trHeight w:val="1003"/>
          <w:jc w:val="center"/>
        </w:trPr>
        <w:tc>
          <w:tcPr>
            <w:tcW w:w="22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引进保险机构</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20</w:t>
            </w:r>
          </w:p>
        </w:tc>
        <w:tc>
          <w:tcPr>
            <w:tcW w:w="5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年度新引进或设立1家保险业金融机构的得满分。未完成目标的根据工作计划和工作进度得分；</w:t>
            </w:r>
          </w:p>
        </w:tc>
      </w:tr>
      <w:tr w:rsidR="0095598C" w:rsidRPr="0095598C" w:rsidTr="0095598C">
        <w:trPr>
          <w:trHeight w:val="1973"/>
          <w:jc w:val="center"/>
        </w:trPr>
        <w:tc>
          <w:tcPr>
            <w:tcW w:w="22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left="13" w:hanging="84"/>
              <w:jc w:val="center"/>
              <w:rPr>
                <w:rFonts w:ascii="宋体" w:eastAsia="宋体" w:hAnsi="宋体" w:cs="宋体"/>
                <w:kern w:val="0"/>
                <w:sz w:val="24"/>
                <w:szCs w:val="24"/>
              </w:rPr>
            </w:pPr>
            <w:r w:rsidRPr="0095598C">
              <w:rPr>
                <w:rFonts w:ascii="仿宋_GB2312" w:eastAsia="仿宋_GB2312" w:hAnsi="宋体" w:cs="宋体" w:hint="eastAsia"/>
                <w:color w:val="000000"/>
                <w:spacing w:val="-10"/>
                <w:kern w:val="0"/>
                <w:sz w:val="24"/>
                <w:szCs w:val="24"/>
              </w:rPr>
              <w:t>综合理赔</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10</w:t>
            </w:r>
          </w:p>
        </w:tc>
        <w:tc>
          <w:tcPr>
            <w:tcW w:w="5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保险理赔做到应赔尽赔，客户满意度高。理赔效率、理赔队伍服务质量提升，理赔服务网点建设完善。</w:t>
            </w:r>
          </w:p>
          <w:p w:rsidR="0095598C" w:rsidRPr="0095598C" w:rsidRDefault="0095598C" w:rsidP="0095598C">
            <w:pPr>
              <w:widowControl/>
              <w:spacing w:line="30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年度综合赔付率（产寿险）不低于20%，其中，产险赔付率不低于50%；</w:t>
            </w:r>
          </w:p>
        </w:tc>
      </w:tr>
      <w:tr w:rsidR="0095598C" w:rsidRPr="0095598C" w:rsidTr="0095598C">
        <w:trPr>
          <w:trHeight w:val="1243"/>
          <w:jc w:val="center"/>
        </w:trPr>
        <w:tc>
          <w:tcPr>
            <w:tcW w:w="22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lastRenderedPageBreak/>
              <w:t>政策性保险业务</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10</w:t>
            </w:r>
          </w:p>
        </w:tc>
        <w:tc>
          <w:tcPr>
            <w:tcW w:w="5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全面开展大病医疗保险，推进农村小额保证保险和农村人身意外伤害险，“三农”保险覆盖率达到60%以上；</w:t>
            </w:r>
          </w:p>
        </w:tc>
      </w:tr>
      <w:tr w:rsidR="0095598C" w:rsidRPr="0095598C" w:rsidTr="0095598C">
        <w:trPr>
          <w:trHeight w:val="1194"/>
          <w:jc w:val="center"/>
        </w:trPr>
        <w:tc>
          <w:tcPr>
            <w:tcW w:w="22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保险市场环境</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10</w:t>
            </w:r>
          </w:p>
        </w:tc>
        <w:tc>
          <w:tcPr>
            <w:tcW w:w="5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加强行业机构的自律监督，优化保险市场环境，全行业安全稳定。无信访投诉群体恶性事件，无重大保险风险事故发生的该项得满分；</w:t>
            </w:r>
          </w:p>
        </w:tc>
      </w:tr>
      <w:tr w:rsidR="0095598C" w:rsidRPr="0095598C" w:rsidTr="0095598C">
        <w:trPr>
          <w:trHeight w:val="1968"/>
          <w:jc w:val="center"/>
        </w:trPr>
        <w:tc>
          <w:tcPr>
            <w:tcW w:w="22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spacing w:val="-10"/>
                <w:kern w:val="0"/>
                <w:sz w:val="24"/>
                <w:szCs w:val="24"/>
              </w:rPr>
              <w:t>市委、市政府</w:t>
            </w:r>
          </w:p>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spacing w:val="-10"/>
                <w:kern w:val="0"/>
                <w:sz w:val="24"/>
                <w:szCs w:val="24"/>
              </w:rPr>
              <w:t>安排工作</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10</w:t>
            </w:r>
          </w:p>
        </w:tc>
        <w:tc>
          <w:tcPr>
            <w:tcW w:w="5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主动为市委、市政府出谋划策，按时报送报表及金融运行分析，及时完成市委、市政府交办的各项专项工作，支持精准扶贫、防汛救灾等工作。引导保险机构投资当地医疗、养老、旅游等项目建设。工作落实得力，完成市委、市政府年度工作目标管理任务的该项得满分；</w:t>
            </w:r>
          </w:p>
        </w:tc>
      </w:tr>
      <w:tr w:rsidR="0095598C" w:rsidRPr="0095598C" w:rsidTr="0095598C">
        <w:trPr>
          <w:trHeight w:val="1142"/>
          <w:jc w:val="center"/>
        </w:trPr>
        <w:tc>
          <w:tcPr>
            <w:tcW w:w="22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spacing w:val="-10"/>
                <w:kern w:val="0"/>
                <w:sz w:val="24"/>
                <w:szCs w:val="24"/>
              </w:rPr>
              <w:t>加分项</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5</w:t>
            </w:r>
          </w:p>
        </w:tc>
        <w:tc>
          <w:tcPr>
            <w:tcW w:w="5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496"/>
              <w:jc w:val="left"/>
              <w:rPr>
                <w:rFonts w:ascii="宋体" w:eastAsia="宋体" w:hAnsi="宋体" w:cs="宋体"/>
                <w:kern w:val="0"/>
                <w:sz w:val="24"/>
                <w:szCs w:val="24"/>
              </w:rPr>
            </w:pPr>
            <w:proofErr w:type="gramStart"/>
            <w:r w:rsidRPr="0095598C">
              <w:rPr>
                <w:rFonts w:ascii="仿宋_GB2312" w:eastAsia="仿宋_GB2312" w:hAnsi="宋体" w:cs="宋体" w:hint="eastAsia"/>
                <w:spacing w:val="6"/>
                <w:kern w:val="0"/>
                <w:sz w:val="24"/>
                <w:szCs w:val="24"/>
              </w:rPr>
              <w:t>支持抓好</w:t>
            </w:r>
            <w:proofErr w:type="gramEnd"/>
            <w:r w:rsidRPr="0095598C">
              <w:rPr>
                <w:rFonts w:ascii="仿宋_GB2312" w:eastAsia="仿宋_GB2312" w:hAnsi="宋体" w:cs="宋体" w:hint="eastAsia"/>
                <w:spacing w:val="6"/>
                <w:kern w:val="0"/>
                <w:sz w:val="24"/>
                <w:szCs w:val="24"/>
              </w:rPr>
              <w:t>招商引资工作，为咸宁经济发展提供更多的“源头活水”和项目支撑，引进企业或项目落地见效的该项得满分（该项不减分）。</w:t>
            </w:r>
          </w:p>
        </w:tc>
      </w:tr>
    </w:tbl>
    <w:p w:rsidR="0095598C" w:rsidRPr="0095598C" w:rsidRDefault="0095598C" w:rsidP="0095598C">
      <w:pPr>
        <w:widowControl/>
        <w:spacing w:line="600" w:lineRule="atLeast"/>
        <w:jc w:val="left"/>
        <w:rPr>
          <w:rFonts w:ascii="宋体" w:eastAsia="宋体" w:hAnsi="宋体" w:cs="宋体"/>
          <w:kern w:val="0"/>
          <w:sz w:val="24"/>
          <w:szCs w:val="24"/>
        </w:rPr>
      </w:pPr>
      <w:r w:rsidRPr="0095598C">
        <w:rPr>
          <w:rFonts w:ascii="华文中宋" w:eastAsia="华文中宋" w:hAnsi="华文中宋" w:cs="宋体" w:hint="eastAsia"/>
          <w:kern w:val="0"/>
          <w:sz w:val="44"/>
          <w:szCs w:val="44"/>
        </w:rPr>
        <w:t> </w:t>
      </w:r>
    </w:p>
    <w:p w:rsidR="0095598C" w:rsidRPr="0095598C" w:rsidRDefault="0095598C" w:rsidP="0095598C">
      <w:pPr>
        <w:widowControl/>
        <w:spacing w:line="600" w:lineRule="atLeast"/>
        <w:jc w:val="left"/>
        <w:rPr>
          <w:rFonts w:ascii="microsoft yahei" w:eastAsia="宋体" w:hAnsi="microsoft yahei" w:cs="宋体"/>
          <w:kern w:val="0"/>
          <w:sz w:val="27"/>
          <w:szCs w:val="27"/>
        </w:rPr>
      </w:pPr>
      <w:r w:rsidRPr="0095598C">
        <w:rPr>
          <w:rFonts w:ascii="华文中宋" w:eastAsia="华文中宋" w:hAnsi="华文中宋" w:cs="宋体" w:hint="eastAsia"/>
          <w:kern w:val="0"/>
          <w:sz w:val="44"/>
          <w:szCs w:val="44"/>
        </w:rPr>
        <w:br w:type="page"/>
      </w:r>
    </w:p>
    <w:p w:rsidR="0095598C" w:rsidRPr="0095598C" w:rsidRDefault="0095598C" w:rsidP="0095598C">
      <w:pPr>
        <w:widowControl/>
        <w:spacing w:line="600" w:lineRule="atLeast"/>
        <w:jc w:val="left"/>
        <w:rPr>
          <w:rFonts w:ascii="宋体" w:eastAsia="宋体" w:hAnsi="宋体" w:cs="宋体"/>
          <w:kern w:val="0"/>
          <w:sz w:val="24"/>
          <w:szCs w:val="24"/>
        </w:rPr>
      </w:pPr>
      <w:r w:rsidRPr="0095598C">
        <w:rPr>
          <w:rFonts w:ascii="黑体" w:eastAsia="黑体" w:hAnsi="黑体" w:cs="宋体" w:hint="eastAsia"/>
          <w:kern w:val="0"/>
          <w:sz w:val="32"/>
          <w:szCs w:val="32"/>
        </w:rPr>
        <w:lastRenderedPageBreak/>
        <w:t>附表2</w:t>
      </w:r>
    </w:p>
    <w:p w:rsidR="0095598C" w:rsidRPr="0095598C" w:rsidRDefault="0095598C" w:rsidP="0095598C">
      <w:pPr>
        <w:widowControl/>
        <w:spacing w:line="600" w:lineRule="atLeast"/>
        <w:jc w:val="left"/>
        <w:rPr>
          <w:rFonts w:ascii="宋体" w:eastAsia="宋体" w:hAnsi="宋体" w:cs="宋体"/>
          <w:kern w:val="0"/>
          <w:sz w:val="24"/>
          <w:szCs w:val="24"/>
        </w:rPr>
      </w:pPr>
      <w:r w:rsidRPr="0095598C">
        <w:rPr>
          <w:rFonts w:ascii="Calibri" w:eastAsia="黑体" w:hAnsi="Calibri" w:cs="Calibri"/>
          <w:kern w:val="0"/>
          <w:sz w:val="28"/>
          <w:szCs w:val="28"/>
        </w:rPr>
        <w:t> </w:t>
      </w:r>
    </w:p>
    <w:p w:rsidR="0095598C" w:rsidRPr="0095598C" w:rsidRDefault="0095598C" w:rsidP="0095598C">
      <w:pPr>
        <w:widowControl/>
        <w:spacing w:line="600" w:lineRule="atLeast"/>
        <w:jc w:val="center"/>
        <w:rPr>
          <w:rFonts w:ascii="宋体" w:eastAsia="宋体" w:hAnsi="宋体" w:cs="宋体"/>
          <w:kern w:val="0"/>
          <w:sz w:val="24"/>
          <w:szCs w:val="24"/>
        </w:rPr>
      </w:pPr>
      <w:r w:rsidRPr="0095598C">
        <w:rPr>
          <w:rFonts w:ascii="方正大标宋简体" w:eastAsia="方正大标宋简体" w:hAnsi="宋体" w:cs="宋体" w:hint="eastAsia"/>
          <w:kern w:val="0"/>
          <w:sz w:val="44"/>
          <w:szCs w:val="44"/>
        </w:rPr>
        <w:t>咸宁市银行业金融机构评分标准</w:t>
      </w:r>
    </w:p>
    <w:tbl>
      <w:tblPr>
        <w:tblW w:w="62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0"/>
        <w:gridCol w:w="713"/>
        <w:gridCol w:w="3577"/>
      </w:tblGrid>
      <w:tr w:rsidR="0095598C" w:rsidRPr="0095598C" w:rsidTr="0095598C">
        <w:trPr>
          <w:trHeight w:val="670"/>
          <w:jc w:val="center"/>
        </w:trPr>
        <w:tc>
          <w:tcPr>
            <w:tcW w:w="2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黑体" w:eastAsia="黑体" w:hAnsi="黑体" w:cs="宋体" w:hint="eastAsia"/>
                <w:kern w:val="0"/>
                <w:sz w:val="24"/>
                <w:szCs w:val="24"/>
              </w:rPr>
              <w:t>指</w:t>
            </w:r>
            <w:r w:rsidRPr="0095598C">
              <w:rPr>
                <w:rFonts w:ascii="Calibri" w:eastAsia="黑体" w:hAnsi="Calibri" w:cs="Calibri"/>
                <w:kern w:val="0"/>
                <w:sz w:val="24"/>
                <w:szCs w:val="24"/>
              </w:rPr>
              <w:t> </w:t>
            </w:r>
            <w:r w:rsidRPr="0095598C">
              <w:rPr>
                <w:rFonts w:ascii="黑体" w:eastAsia="黑体" w:hAnsi="黑体" w:cs="宋体" w:hint="eastAsia"/>
                <w:kern w:val="0"/>
                <w:sz w:val="24"/>
                <w:szCs w:val="24"/>
              </w:rPr>
              <w:t xml:space="preserve"> 标</w:t>
            </w:r>
          </w:p>
        </w:tc>
        <w:tc>
          <w:tcPr>
            <w:tcW w:w="8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黑体" w:eastAsia="黑体" w:hAnsi="黑体" w:cs="宋体" w:hint="eastAsia"/>
                <w:kern w:val="0"/>
                <w:sz w:val="24"/>
                <w:szCs w:val="24"/>
              </w:rPr>
              <w:t>分值</w:t>
            </w:r>
          </w:p>
        </w:tc>
        <w:tc>
          <w:tcPr>
            <w:tcW w:w="57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黑体" w:eastAsia="黑体" w:hAnsi="黑体" w:cs="宋体" w:hint="eastAsia"/>
                <w:kern w:val="0"/>
                <w:sz w:val="24"/>
                <w:szCs w:val="24"/>
              </w:rPr>
              <w:t>评 分 标 准</w:t>
            </w:r>
          </w:p>
        </w:tc>
      </w:tr>
      <w:tr w:rsidR="0095598C" w:rsidRPr="0095598C" w:rsidTr="0095598C">
        <w:trPr>
          <w:trHeight w:val="1302"/>
          <w:jc w:val="center"/>
        </w:trPr>
        <w:tc>
          <w:tcPr>
            <w:tcW w:w="28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kern w:val="0"/>
                <w:sz w:val="24"/>
                <w:szCs w:val="24"/>
              </w:rPr>
              <w:t>表内外信贷融资总量</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kern w:val="0"/>
                <w:sz w:val="24"/>
                <w:szCs w:val="24"/>
              </w:rPr>
              <w:t>15</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470"/>
              <w:jc w:val="left"/>
              <w:rPr>
                <w:rFonts w:ascii="宋体" w:eastAsia="宋体" w:hAnsi="宋体" w:cs="宋体"/>
                <w:kern w:val="0"/>
                <w:sz w:val="24"/>
                <w:szCs w:val="24"/>
              </w:rPr>
            </w:pPr>
            <w:r w:rsidRPr="0095598C">
              <w:rPr>
                <w:rFonts w:ascii="仿宋_GB2312" w:eastAsia="仿宋_GB2312" w:hAnsi="宋体" w:cs="宋体" w:hint="eastAsia"/>
                <w:kern w:val="0"/>
                <w:sz w:val="24"/>
                <w:szCs w:val="24"/>
              </w:rPr>
              <w:t>表内外信贷融资总量最多的银行业金融机构得15分，最少的银行业金融机构得5分，其他银行业金融机构的得分按照其总量与最多、最少的银行业金融机构的差额比率计算分值；</w:t>
            </w:r>
          </w:p>
        </w:tc>
      </w:tr>
      <w:tr w:rsidR="0095598C" w:rsidRPr="0095598C" w:rsidTr="0095598C">
        <w:trPr>
          <w:trHeight w:val="1413"/>
          <w:jc w:val="center"/>
        </w:trPr>
        <w:tc>
          <w:tcPr>
            <w:tcW w:w="28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kern w:val="0"/>
                <w:sz w:val="24"/>
                <w:szCs w:val="24"/>
              </w:rPr>
              <w:t>表内外信贷融资增量</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kern w:val="0"/>
                <w:sz w:val="24"/>
                <w:szCs w:val="24"/>
              </w:rPr>
              <w:t>20</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470"/>
              <w:jc w:val="left"/>
              <w:rPr>
                <w:rFonts w:ascii="宋体" w:eastAsia="宋体" w:hAnsi="宋体" w:cs="宋体"/>
                <w:kern w:val="0"/>
                <w:sz w:val="24"/>
                <w:szCs w:val="24"/>
              </w:rPr>
            </w:pPr>
            <w:r w:rsidRPr="0095598C">
              <w:rPr>
                <w:rFonts w:ascii="仿宋_GB2312" w:eastAsia="仿宋_GB2312" w:hAnsi="宋体" w:cs="宋体" w:hint="eastAsia"/>
                <w:kern w:val="0"/>
                <w:sz w:val="24"/>
                <w:szCs w:val="24"/>
              </w:rPr>
              <w:t>表内外信贷融资增量最多的银行业金融机构得20分，最少的银行业金融机构得10分，其他银行业金融机构的得分按照其增量与最多、最少的银行业金融机构的差额比率计算分值；</w:t>
            </w:r>
          </w:p>
        </w:tc>
      </w:tr>
      <w:tr w:rsidR="0095598C" w:rsidRPr="0095598C" w:rsidTr="0095598C">
        <w:trPr>
          <w:trHeight w:val="1127"/>
          <w:jc w:val="center"/>
        </w:trPr>
        <w:tc>
          <w:tcPr>
            <w:tcW w:w="28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kern w:val="0"/>
                <w:sz w:val="24"/>
                <w:szCs w:val="24"/>
              </w:rPr>
              <w:t>增量贷存比</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kern w:val="0"/>
                <w:sz w:val="24"/>
                <w:szCs w:val="24"/>
              </w:rPr>
              <w:t>20</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470"/>
              <w:jc w:val="left"/>
              <w:rPr>
                <w:rFonts w:ascii="宋体" w:eastAsia="宋体" w:hAnsi="宋体" w:cs="宋体"/>
                <w:kern w:val="0"/>
                <w:sz w:val="24"/>
                <w:szCs w:val="24"/>
              </w:rPr>
            </w:pPr>
            <w:r w:rsidRPr="0095598C">
              <w:rPr>
                <w:rFonts w:ascii="仿宋_GB2312" w:eastAsia="仿宋_GB2312" w:hAnsi="宋体" w:cs="宋体" w:hint="eastAsia"/>
                <w:kern w:val="0"/>
                <w:sz w:val="24"/>
                <w:szCs w:val="24"/>
              </w:rPr>
              <w:t>增量贷存比第一的银行业金融机构得20分，其他银行业金融机构的得分按照排序，级差0.5分递减计算分值；</w:t>
            </w:r>
          </w:p>
        </w:tc>
      </w:tr>
      <w:tr w:rsidR="0095598C" w:rsidRPr="0095598C" w:rsidTr="0095598C">
        <w:trPr>
          <w:trHeight w:val="1534"/>
          <w:jc w:val="center"/>
        </w:trPr>
        <w:tc>
          <w:tcPr>
            <w:tcW w:w="28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kern w:val="0"/>
                <w:sz w:val="24"/>
                <w:szCs w:val="24"/>
              </w:rPr>
              <w:t>小</w:t>
            </w:r>
            <w:proofErr w:type="gramStart"/>
            <w:r w:rsidRPr="0095598C">
              <w:rPr>
                <w:rFonts w:ascii="仿宋_GB2312" w:eastAsia="仿宋_GB2312" w:hAnsi="宋体" w:cs="宋体" w:hint="eastAsia"/>
                <w:kern w:val="0"/>
                <w:sz w:val="24"/>
                <w:szCs w:val="24"/>
              </w:rPr>
              <w:t>微企业</w:t>
            </w:r>
            <w:proofErr w:type="gramEnd"/>
            <w:r w:rsidRPr="0095598C">
              <w:rPr>
                <w:rFonts w:ascii="仿宋_GB2312" w:eastAsia="仿宋_GB2312" w:hAnsi="宋体" w:cs="宋体" w:hint="eastAsia"/>
                <w:kern w:val="0"/>
                <w:sz w:val="24"/>
                <w:szCs w:val="24"/>
              </w:rPr>
              <w:t>贷款及</w:t>
            </w:r>
          </w:p>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kern w:val="0"/>
                <w:sz w:val="24"/>
                <w:szCs w:val="24"/>
              </w:rPr>
              <w:t>涉农贷款增量</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kern w:val="0"/>
                <w:sz w:val="24"/>
                <w:szCs w:val="24"/>
              </w:rPr>
              <w:t>15</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373"/>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小</w:t>
            </w:r>
            <w:proofErr w:type="gramStart"/>
            <w:r w:rsidRPr="0095598C">
              <w:rPr>
                <w:rFonts w:ascii="仿宋_GB2312" w:eastAsia="仿宋_GB2312" w:hAnsi="宋体" w:cs="宋体" w:hint="eastAsia"/>
                <w:spacing w:val="6"/>
                <w:kern w:val="0"/>
                <w:sz w:val="24"/>
                <w:szCs w:val="24"/>
              </w:rPr>
              <w:t>微企业</w:t>
            </w:r>
            <w:proofErr w:type="gramEnd"/>
            <w:r w:rsidRPr="0095598C">
              <w:rPr>
                <w:rFonts w:ascii="仿宋_GB2312" w:eastAsia="仿宋_GB2312" w:hAnsi="宋体" w:cs="宋体" w:hint="eastAsia"/>
                <w:spacing w:val="6"/>
                <w:kern w:val="0"/>
                <w:sz w:val="24"/>
                <w:szCs w:val="24"/>
              </w:rPr>
              <w:t>贷款及涉农贷款增量最多的银行业金融机构得15分，最少的银行业金融机构得5分，其他银行业金融机构的得分按照其增量与最多、最少的银行业金融机构的差额比率计算分值；</w:t>
            </w:r>
          </w:p>
        </w:tc>
      </w:tr>
      <w:tr w:rsidR="0095598C" w:rsidRPr="0095598C" w:rsidTr="0095598C">
        <w:trPr>
          <w:trHeight w:val="1146"/>
          <w:jc w:val="center"/>
        </w:trPr>
        <w:tc>
          <w:tcPr>
            <w:tcW w:w="28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left="32" w:hanging="137"/>
              <w:jc w:val="center"/>
              <w:rPr>
                <w:rFonts w:ascii="宋体" w:eastAsia="宋体" w:hAnsi="宋体" w:cs="宋体"/>
                <w:kern w:val="0"/>
                <w:sz w:val="24"/>
                <w:szCs w:val="24"/>
              </w:rPr>
            </w:pPr>
            <w:r w:rsidRPr="0095598C">
              <w:rPr>
                <w:rFonts w:ascii="仿宋_GB2312" w:eastAsia="仿宋_GB2312" w:hAnsi="宋体" w:cs="宋体" w:hint="eastAsia"/>
                <w:kern w:val="0"/>
                <w:sz w:val="24"/>
                <w:szCs w:val="24"/>
              </w:rPr>
              <w:t>税收贡献度</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kern w:val="0"/>
                <w:sz w:val="24"/>
                <w:szCs w:val="24"/>
              </w:rPr>
              <w:t>10</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373"/>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属地纳税排名第一的银行业金融机构得10分，其他银行业金融机构的得分按照排序，级差0.5分递减计算分值；</w:t>
            </w:r>
          </w:p>
        </w:tc>
      </w:tr>
      <w:tr w:rsidR="0095598C" w:rsidRPr="0095598C" w:rsidTr="0095598C">
        <w:trPr>
          <w:trHeight w:val="802"/>
          <w:jc w:val="center"/>
        </w:trPr>
        <w:tc>
          <w:tcPr>
            <w:tcW w:w="28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kern w:val="0"/>
                <w:sz w:val="24"/>
                <w:szCs w:val="24"/>
              </w:rPr>
              <w:t>不良贷款率</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kern w:val="0"/>
                <w:sz w:val="24"/>
                <w:szCs w:val="24"/>
              </w:rPr>
              <w:t>5</w:t>
            </w:r>
            <w:r w:rsidRPr="0095598C">
              <w:rPr>
                <w:rFonts w:ascii="仿宋_GB2312" w:eastAsia="仿宋_GB2312" w:hAnsi="宋体" w:cs="宋体" w:hint="eastAsia"/>
                <w:kern w:val="0"/>
                <w:sz w:val="24"/>
                <w:szCs w:val="24"/>
              </w:rPr>
              <w:t> </w:t>
            </w:r>
            <w:r w:rsidRPr="0095598C">
              <w:rPr>
                <w:rFonts w:ascii="仿宋_GB2312" w:eastAsia="仿宋_GB2312" w:hAnsi="宋体" w:cs="宋体" w:hint="eastAsia"/>
                <w:kern w:val="0"/>
                <w:sz w:val="24"/>
                <w:szCs w:val="24"/>
              </w:rPr>
              <w:t xml:space="preserve"> </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373"/>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当年不良贷款率较上年度降低的或当年没有新增不良贷款的得满分，完不成上述任务的扣2分；</w:t>
            </w:r>
          </w:p>
        </w:tc>
      </w:tr>
      <w:tr w:rsidR="0095598C" w:rsidRPr="0095598C" w:rsidTr="0095598C">
        <w:trPr>
          <w:trHeight w:val="1405"/>
          <w:jc w:val="center"/>
        </w:trPr>
        <w:tc>
          <w:tcPr>
            <w:tcW w:w="28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kern w:val="0"/>
                <w:sz w:val="24"/>
                <w:szCs w:val="24"/>
              </w:rPr>
              <w:lastRenderedPageBreak/>
              <w:t>金融改革创新</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kern w:val="0"/>
                <w:sz w:val="24"/>
                <w:szCs w:val="24"/>
              </w:rPr>
              <w:t>15</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创新支持重点项目和基础设施建设、精准扶贫、民生创业等工作，全力开展培植A级信用企业。积极承担、主动配合市政府开展“政银保”、“无微不至微笑资金”等金融创新产品运作；</w:t>
            </w:r>
          </w:p>
        </w:tc>
      </w:tr>
      <w:tr w:rsidR="0095598C" w:rsidRPr="0095598C" w:rsidTr="0095598C">
        <w:trPr>
          <w:trHeight w:val="1438"/>
          <w:jc w:val="center"/>
        </w:trPr>
        <w:tc>
          <w:tcPr>
            <w:tcW w:w="28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加分项</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5</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496"/>
              <w:jc w:val="left"/>
              <w:rPr>
                <w:rFonts w:ascii="宋体" w:eastAsia="宋体" w:hAnsi="宋体" w:cs="宋体"/>
                <w:kern w:val="0"/>
                <w:sz w:val="24"/>
                <w:szCs w:val="24"/>
              </w:rPr>
            </w:pPr>
            <w:proofErr w:type="gramStart"/>
            <w:r w:rsidRPr="0095598C">
              <w:rPr>
                <w:rFonts w:ascii="仿宋_GB2312" w:eastAsia="仿宋_GB2312" w:hAnsi="宋体" w:cs="宋体" w:hint="eastAsia"/>
                <w:spacing w:val="6"/>
                <w:kern w:val="0"/>
                <w:sz w:val="24"/>
                <w:szCs w:val="24"/>
              </w:rPr>
              <w:t>支持抓好</w:t>
            </w:r>
            <w:proofErr w:type="gramEnd"/>
            <w:r w:rsidRPr="0095598C">
              <w:rPr>
                <w:rFonts w:ascii="仿宋_GB2312" w:eastAsia="仿宋_GB2312" w:hAnsi="宋体" w:cs="宋体" w:hint="eastAsia"/>
                <w:spacing w:val="6"/>
                <w:kern w:val="0"/>
                <w:sz w:val="24"/>
                <w:szCs w:val="24"/>
              </w:rPr>
              <w:t>招商引资工作，为咸宁经济发展提供更多的“源头活水”和项目支撑，引进企业或项目落地见效的该项得满分（该项不减分）。</w:t>
            </w:r>
          </w:p>
        </w:tc>
      </w:tr>
    </w:tbl>
    <w:p w:rsidR="0095598C" w:rsidRPr="0095598C" w:rsidRDefault="0095598C" w:rsidP="0095598C">
      <w:pPr>
        <w:widowControl/>
        <w:spacing w:line="600" w:lineRule="atLeast"/>
        <w:jc w:val="left"/>
        <w:rPr>
          <w:rFonts w:ascii="宋体" w:eastAsia="宋体" w:hAnsi="宋体" w:cs="宋体"/>
          <w:kern w:val="0"/>
          <w:sz w:val="24"/>
          <w:szCs w:val="24"/>
        </w:rPr>
      </w:pPr>
      <w:r w:rsidRPr="0095598C">
        <w:rPr>
          <w:rFonts w:ascii="黑体" w:eastAsia="黑体" w:hAnsi="黑体" w:cs="宋体" w:hint="eastAsia"/>
          <w:kern w:val="0"/>
          <w:sz w:val="32"/>
          <w:szCs w:val="32"/>
        </w:rPr>
        <w:t>附表3</w:t>
      </w:r>
    </w:p>
    <w:p w:rsidR="0095598C" w:rsidRPr="0095598C" w:rsidRDefault="0095598C" w:rsidP="0095598C">
      <w:pPr>
        <w:widowControl/>
        <w:spacing w:line="600" w:lineRule="atLeast"/>
        <w:jc w:val="left"/>
        <w:rPr>
          <w:rFonts w:ascii="宋体" w:eastAsia="宋体" w:hAnsi="宋体" w:cs="宋体"/>
          <w:kern w:val="0"/>
          <w:sz w:val="24"/>
          <w:szCs w:val="24"/>
        </w:rPr>
      </w:pPr>
      <w:r w:rsidRPr="0095598C">
        <w:rPr>
          <w:rFonts w:ascii="Calibri" w:eastAsia="黑体" w:hAnsi="Calibri" w:cs="Calibri"/>
          <w:kern w:val="0"/>
          <w:sz w:val="32"/>
          <w:szCs w:val="32"/>
        </w:rPr>
        <w:t> </w:t>
      </w:r>
    </w:p>
    <w:p w:rsidR="0095598C" w:rsidRPr="0095598C" w:rsidRDefault="0095598C" w:rsidP="0095598C">
      <w:pPr>
        <w:widowControl/>
        <w:spacing w:line="600" w:lineRule="atLeast"/>
        <w:jc w:val="center"/>
        <w:rPr>
          <w:rFonts w:ascii="宋体" w:eastAsia="宋体" w:hAnsi="宋体" w:cs="宋体"/>
          <w:kern w:val="0"/>
          <w:sz w:val="24"/>
          <w:szCs w:val="24"/>
        </w:rPr>
      </w:pPr>
      <w:r w:rsidRPr="0095598C">
        <w:rPr>
          <w:rFonts w:ascii="方正大标宋简体" w:eastAsia="方正大标宋简体" w:hAnsi="宋体" w:cs="宋体" w:hint="eastAsia"/>
          <w:kern w:val="0"/>
          <w:sz w:val="44"/>
          <w:szCs w:val="44"/>
        </w:rPr>
        <w:t>咸宁市保险业金融机构评分标准</w:t>
      </w:r>
    </w:p>
    <w:p w:rsidR="0095598C" w:rsidRPr="0095598C" w:rsidRDefault="0095598C" w:rsidP="0095598C">
      <w:pPr>
        <w:widowControl/>
        <w:spacing w:line="200" w:lineRule="atLeast"/>
        <w:jc w:val="center"/>
        <w:rPr>
          <w:rFonts w:ascii="宋体" w:eastAsia="宋体" w:hAnsi="宋体" w:cs="宋体"/>
          <w:kern w:val="0"/>
          <w:sz w:val="24"/>
          <w:szCs w:val="24"/>
        </w:rPr>
      </w:pPr>
      <w:r w:rsidRPr="0095598C">
        <w:rPr>
          <w:rFonts w:ascii="华文中宋" w:eastAsia="华文中宋" w:hAnsi="华文中宋" w:cs="宋体" w:hint="eastAsia"/>
          <w:kern w:val="0"/>
          <w:sz w:val="15"/>
          <w:szCs w:val="15"/>
        </w:rPr>
        <w:t> </w:t>
      </w:r>
    </w:p>
    <w:tbl>
      <w:tblPr>
        <w:tblW w:w="61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8"/>
        <w:gridCol w:w="706"/>
        <w:gridCol w:w="3776"/>
      </w:tblGrid>
      <w:tr w:rsidR="0095598C" w:rsidRPr="0095598C" w:rsidTr="0095598C">
        <w:trPr>
          <w:trHeight w:val="865"/>
          <w:jc w:val="center"/>
        </w:trPr>
        <w:tc>
          <w:tcPr>
            <w:tcW w:w="23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jc w:val="center"/>
              <w:rPr>
                <w:rFonts w:ascii="宋体" w:eastAsia="宋体" w:hAnsi="宋体" w:cs="宋体"/>
                <w:kern w:val="0"/>
                <w:sz w:val="24"/>
                <w:szCs w:val="24"/>
              </w:rPr>
            </w:pPr>
            <w:r w:rsidRPr="0095598C">
              <w:rPr>
                <w:rFonts w:ascii="黑体" w:eastAsia="黑体" w:hAnsi="黑体" w:cs="宋体" w:hint="eastAsia"/>
                <w:color w:val="000000"/>
                <w:kern w:val="0"/>
                <w:sz w:val="24"/>
                <w:szCs w:val="24"/>
              </w:rPr>
              <w:t>指</w:t>
            </w:r>
            <w:r w:rsidRPr="0095598C">
              <w:rPr>
                <w:rFonts w:ascii="Calibri" w:eastAsia="黑体" w:hAnsi="Calibri" w:cs="Calibri"/>
                <w:color w:val="000000"/>
                <w:kern w:val="0"/>
                <w:sz w:val="24"/>
                <w:szCs w:val="24"/>
              </w:rPr>
              <w:t> </w:t>
            </w:r>
            <w:r w:rsidRPr="0095598C">
              <w:rPr>
                <w:rFonts w:ascii="黑体" w:eastAsia="黑体" w:hAnsi="黑体" w:cs="宋体" w:hint="eastAsia"/>
                <w:color w:val="000000"/>
                <w:kern w:val="0"/>
                <w:sz w:val="24"/>
                <w:szCs w:val="24"/>
              </w:rPr>
              <w:t xml:space="preserve"> 标</w:t>
            </w:r>
          </w:p>
        </w:tc>
        <w:tc>
          <w:tcPr>
            <w:tcW w:w="9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jc w:val="center"/>
              <w:rPr>
                <w:rFonts w:ascii="宋体" w:eastAsia="宋体" w:hAnsi="宋体" w:cs="宋体"/>
                <w:kern w:val="0"/>
                <w:sz w:val="24"/>
                <w:szCs w:val="24"/>
              </w:rPr>
            </w:pPr>
            <w:r w:rsidRPr="0095598C">
              <w:rPr>
                <w:rFonts w:ascii="黑体" w:eastAsia="黑体" w:hAnsi="黑体" w:cs="宋体" w:hint="eastAsia"/>
                <w:color w:val="000000"/>
                <w:kern w:val="0"/>
                <w:sz w:val="24"/>
                <w:szCs w:val="24"/>
              </w:rPr>
              <w:t>分值</w:t>
            </w:r>
          </w:p>
        </w:tc>
        <w:tc>
          <w:tcPr>
            <w:tcW w:w="59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jc w:val="center"/>
              <w:rPr>
                <w:rFonts w:ascii="宋体" w:eastAsia="宋体" w:hAnsi="宋体" w:cs="宋体"/>
                <w:kern w:val="0"/>
                <w:sz w:val="24"/>
                <w:szCs w:val="24"/>
              </w:rPr>
            </w:pPr>
            <w:r w:rsidRPr="0095598C">
              <w:rPr>
                <w:rFonts w:ascii="黑体" w:eastAsia="黑体" w:hAnsi="黑体" w:cs="宋体" w:hint="eastAsia"/>
                <w:color w:val="000000"/>
                <w:kern w:val="0"/>
                <w:sz w:val="24"/>
                <w:szCs w:val="24"/>
              </w:rPr>
              <w:t>评 分 标 准</w:t>
            </w:r>
          </w:p>
        </w:tc>
      </w:tr>
      <w:tr w:rsidR="0095598C" w:rsidRPr="0095598C" w:rsidTr="0095598C">
        <w:trPr>
          <w:trHeight w:val="1199"/>
          <w:jc w:val="center"/>
        </w:trPr>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保费收入增幅</w:t>
            </w: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20</w:t>
            </w:r>
          </w:p>
        </w:tc>
        <w:tc>
          <w:tcPr>
            <w:tcW w:w="59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保费收入增长达到15%得15分，每增长1个百分点加1分，加满20分为止，每减少一个百分点减1分；</w:t>
            </w:r>
          </w:p>
        </w:tc>
      </w:tr>
      <w:tr w:rsidR="0095598C" w:rsidRPr="0095598C" w:rsidTr="0095598C">
        <w:trPr>
          <w:trHeight w:val="959"/>
          <w:jc w:val="center"/>
        </w:trPr>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政策性保险业务</w:t>
            </w: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30</w:t>
            </w:r>
          </w:p>
        </w:tc>
        <w:tc>
          <w:tcPr>
            <w:tcW w:w="59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推行政策性保险种类的得20分，每增加1个险种得2分，加满30分为止；</w:t>
            </w:r>
          </w:p>
        </w:tc>
      </w:tr>
      <w:tr w:rsidR="0095598C" w:rsidRPr="0095598C" w:rsidTr="0095598C">
        <w:trPr>
          <w:trHeight w:val="1034"/>
          <w:jc w:val="center"/>
        </w:trPr>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税收贡献度</w:t>
            </w: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20</w:t>
            </w:r>
          </w:p>
        </w:tc>
        <w:tc>
          <w:tcPr>
            <w:tcW w:w="59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属地纳税排名前五的保险机构得20分，其他保险机构的得分按照排序，级差1分递减计算分值；</w:t>
            </w:r>
          </w:p>
        </w:tc>
      </w:tr>
      <w:tr w:rsidR="0095598C" w:rsidRPr="0095598C" w:rsidTr="0095598C">
        <w:trPr>
          <w:trHeight w:val="1069"/>
          <w:jc w:val="center"/>
        </w:trPr>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left="13" w:hanging="84"/>
              <w:jc w:val="center"/>
              <w:rPr>
                <w:rFonts w:ascii="宋体" w:eastAsia="宋体" w:hAnsi="宋体" w:cs="宋体"/>
                <w:kern w:val="0"/>
                <w:sz w:val="24"/>
                <w:szCs w:val="24"/>
              </w:rPr>
            </w:pPr>
            <w:r w:rsidRPr="0095598C">
              <w:rPr>
                <w:rFonts w:ascii="仿宋_GB2312" w:eastAsia="仿宋_GB2312" w:hAnsi="宋体" w:cs="宋体" w:hint="eastAsia"/>
                <w:color w:val="000000"/>
                <w:spacing w:val="-10"/>
                <w:kern w:val="0"/>
                <w:sz w:val="24"/>
                <w:szCs w:val="24"/>
              </w:rPr>
              <w:t>综合理赔</w:t>
            </w: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10</w:t>
            </w:r>
          </w:p>
        </w:tc>
        <w:tc>
          <w:tcPr>
            <w:tcW w:w="59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   </w:t>
            </w:r>
            <w:r w:rsidRPr="0095598C">
              <w:rPr>
                <w:rFonts w:ascii="仿宋_GB2312" w:eastAsia="仿宋_GB2312" w:hAnsi="宋体" w:cs="宋体" w:hint="eastAsia"/>
                <w:spacing w:val="6"/>
                <w:kern w:val="0"/>
                <w:sz w:val="24"/>
                <w:szCs w:val="24"/>
              </w:rPr>
              <w:t xml:space="preserve"> 赔付率从高到低排名，第1名的得满分，其他保险机构的得分按照排序，级差1分递减计算分值；</w:t>
            </w:r>
          </w:p>
        </w:tc>
      </w:tr>
      <w:tr w:rsidR="0095598C" w:rsidRPr="0095598C" w:rsidTr="0095598C">
        <w:trPr>
          <w:trHeight w:val="1392"/>
          <w:jc w:val="center"/>
        </w:trPr>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金融改革创新</w:t>
            </w: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20</w:t>
            </w:r>
          </w:p>
        </w:tc>
        <w:tc>
          <w:tcPr>
            <w:tcW w:w="59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实行商业保险优惠费率政策，创新保险产品，保障民生。开展保险救灾、保险扶贫，推广小额贷款保证保险等工作；</w:t>
            </w:r>
          </w:p>
        </w:tc>
      </w:tr>
      <w:tr w:rsidR="0095598C" w:rsidRPr="0095598C" w:rsidTr="0095598C">
        <w:trPr>
          <w:trHeight w:val="1546"/>
          <w:jc w:val="center"/>
        </w:trPr>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lastRenderedPageBreak/>
              <w:t>加分项</w:t>
            </w: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5</w:t>
            </w:r>
          </w:p>
        </w:tc>
        <w:tc>
          <w:tcPr>
            <w:tcW w:w="59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300" w:lineRule="atLeast"/>
              <w:ind w:firstLine="496"/>
              <w:jc w:val="left"/>
              <w:rPr>
                <w:rFonts w:ascii="宋体" w:eastAsia="宋体" w:hAnsi="宋体" w:cs="宋体"/>
                <w:kern w:val="0"/>
                <w:sz w:val="24"/>
                <w:szCs w:val="24"/>
              </w:rPr>
            </w:pPr>
            <w:proofErr w:type="gramStart"/>
            <w:r w:rsidRPr="0095598C">
              <w:rPr>
                <w:rFonts w:ascii="仿宋_GB2312" w:eastAsia="仿宋_GB2312" w:hAnsi="宋体" w:cs="宋体" w:hint="eastAsia"/>
                <w:spacing w:val="6"/>
                <w:kern w:val="0"/>
                <w:sz w:val="24"/>
                <w:szCs w:val="24"/>
              </w:rPr>
              <w:t>支持抓好</w:t>
            </w:r>
            <w:proofErr w:type="gramEnd"/>
            <w:r w:rsidRPr="0095598C">
              <w:rPr>
                <w:rFonts w:ascii="仿宋_GB2312" w:eastAsia="仿宋_GB2312" w:hAnsi="宋体" w:cs="宋体" w:hint="eastAsia"/>
                <w:spacing w:val="6"/>
                <w:kern w:val="0"/>
                <w:sz w:val="24"/>
                <w:szCs w:val="24"/>
              </w:rPr>
              <w:t>招商引资工作，为咸宁经济发展提供更多的“源头活水”和项目支撑，引进企业或项目落地见效的该项得满分（该项不减分）。</w:t>
            </w:r>
          </w:p>
        </w:tc>
      </w:tr>
    </w:tbl>
    <w:p w:rsidR="0095598C" w:rsidRPr="0095598C" w:rsidRDefault="0095598C" w:rsidP="0095598C">
      <w:pPr>
        <w:widowControl/>
        <w:spacing w:line="600" w:lineRule="atLeast"/>
        <w:jc w:val="left"/>
        <w:rPr>
          <w:rFonts w:ascii="宋体" w:eastAsia="宋体" w:hAnsi="宋体" w:cs="宋体"/>
          <w:kern w:val="0"/>
          <w:sz w:val="24"/>
          <w:szCs w:val="24"/>
        </w:rPr>
      </w:pPr>
      <w:r w:rsidRPr="0095598C">
        <w:rPr>
          <w:rFonts w:ascii="仿宋_GB2312" w:eastAsia="仿宋_GB2312" w:hAnsi="宋体" w:cs="宋体" w:hint="eastAsia"/>
          <w:kern w:val="0"/>
          <w:sz w:val="32"/>
          <w:szCs w:val="32"/>
        </w:rPr>
        <w:t> </w:t>
      </w:r>
    </w:p>
    <w:p w:rsidR="0095598C" w:rsidRPr="0095598C" w:rsidRDefault="0095598C" w:rsidP="0095598C">
      <w:pPr>
        <w:widowControl/>
        <w:spacing w:line="600" w:lineRule="atLeast"/>
        <w:jc w:val="left"/>
        <w:rPr>
          <w:rFonts w:ascii="microsoft yahei" w:eastAsia="宋体" w:hAnsi="microsoft yahei" w:cs="宋体"/>
          <w:kern w:val="0"/>
          <w:sz w:val="27"/>
          <w:szCs w:val="27"/>
        </w:rPr>
      </w:pPr>
      <w:r w:rsidRPr="0095598C">
        <w:rPr>
          <w:rFonts w:ascii="仿宋_GB2312" w:eastAsia="仿宋_GB2312" w:hAnsi="microsoft yahei" w:cs="宋体" w:hint="eastAsia"/>
          <w:kern w:val="0"/>
          <w:sz w:val="32"/>
          <w:szCs w:val="32"/>
        </w:rPr>
        <w:br w:type="page"/>
      </w:r>
    </w:p>
    <w:p w:rsidR="0095598C" w:rsidRPr="0095598C" w:rsidRDefault="0095598C" w:rsidP="0095598C">
      <w:pPr>
        <w:widowControl/>
        <w:spacing w:line="600" w:lineRule="atLeast"/>
        <w:jc w:val="left"/>
        <w:rPr>
          <w:rFonts w:ascii="宋体" w:eastAsia="宋体" w:hAnsi="宋体" w:cs="宋体"/>
          <w:kern w:val="0"/>
          <w:sz w:val="24"/>
          <w:szCs w:val="24"/>
        </w:rPr>
      </w:pPr>
      <w:r w:rsidRPr="0095598C">
        <w:rPr>
          <w:rFonts w:ascii="黑体" w:eastAsia="黑体" w:hAnsi="黑体" w:cs="宋体" w:hint="eastAsia"/>
          <w:kern w:val="0"/>
          <w:sz w:val="32"/>
          <w:szCs w:val="32"/>
        </w:rPr>
        <w:lastRenderedPageBreak/>
        <w:t>附表4</w:t>
      </w:r>
    </w:p>
    <w:p w:rsidR="0095598C" w:rsidRPr="0095598C" w:rsidRDefault="0095598C" w:rsidP="0095598C">
      <w:pPr>
        <w:widowControl/>
        <w:spacing w:line="600" w:lineRule="atLeast"/>
        <w:jc w:val="left"/>
        <w:rPr>
          <w:rFonts w:ascii="宋体" w:eastAsia="宋体" w:hAnsi="宋体" w:cs="宋体"/>
          <w:kern w:val="0"/>
          <w:sz w:val="24"/>
          <w:szCs w:val="24"/>
        </w:rPr>
      </w:pPr>
      <w:r w:rsidRPr="0095598C">
        <w:rPr>
          <w:rFonts w:ascii="Calibri" w:eastAsia="黑体" w:hAnsi="Calibri" w:cs="Calibri"/>
          <w:kern w:val="0"/>
          <w:sz w:val="32"/>
          <w:szCs w:val="32"/>
        </w:rPr>
        <w:t> </w:t>
      </w:r>
    </w:p>
    <w:p w:rsidR="0095598C" w:rsidRPr="0095598C" w:rsidRDefault="0095598C" w:rsidP="0095598C">
      <w:pPr>
        <w:widowControl/>
        <w:spacing w:line="600" w:lineRule="atLeast"/>
        <w:jc w:val="center"/>
        <w:rPr>
          <w:rFonts w:ascii="宋体" w:eastAsia="宋体" w:hAnsi="宋体" w:cs="宋体"/>
          <w:kern w:val="0"/>
          <w:sz w:val="24"/>
          <w:szCs w:val="24"/>
        </w:rPr>
      </w:pPr>
      <w:r w:rsidRPr="0095598C">
        <w:rPr>
          <w:rFonts w:ascii="方正大标宋简体" w:eastAsia="方正大标宋简体" w:hAnsi="宋体" w:cs="宋体" w:hint="eastAsia"/>
          <w:kern w:val="0"/>
          <w:sz w:val="44"/>
          <w:szCs w:val="44"/>
        </w:rPr>
        <w:t>咸宁市证券</w:t>
      </w:r>
      <w:proofErr w:type="gramStart"/>
      <w:r w:rsidRPr="0095598C">
        <w:rPr>
          <w:rFonts w:ascii="方正大标宋简体" w:eastAsia="方正大标宋简体" w:hAnsi="宋体" w:cs="宋体" w:hint="eastAsia"/>
          <w:kern w:val="0"/>
          <w:sz w:val="44"/>
          <w:szCs w:val="44"/>
        </w:rPr>
        <w:t>业金融</w:t>
      </w:r>
      <w:proofErr w:type="gramEnd"/>
      <w:r w:rsidRPr="0095598C">
        <w:rPr>
          <w:rFonts w:ascii="方正大标宋简体" w:eastAsia="方正大标宋简体" w:hAnsi="宋体" w:cs="宋体" w:hint="eastAsia"/>
          <w:kern w:val="0"/>
          <w:sz w:val="44"/>
          <w:szCs w:val="44"/>
        </w:rPr>
        <w:t>机构评分标准</w:t>
      </w:r>
    </w:p>
    <w:p w:rsidR="0095598C" w:rsidRPr="0095598C" w:rsidRDefault="0095598C" w:rsidP="0095598C">
      <w:pPr>
        <w:widowControl/>
        <w:spacing w:line="200" w:lineRule="atLeast"/>
        <w:jc w:val="center"/>
        <w:rPr>
          <w:rFonts w:ascii="宋体" w:eastAsia="宋体" w:hAnsi="宋体" w:cs="宋体"/>
          <w:kern w:val="0"/>
          <w:sz w:val="24"/>
          <w:szCs w:val="24"/>
        </w:rPr>
      </w:pPr>
      <w:r w:rsidRPr="0095598C">
        <w:rPr>
          <w:rFonts w:ascii="华文中宋" w:eastAsia="华文中宋" w:hAnsi="华文中宋" w:cs="宋体" w:hint="eastAsia"/>
          <w:kern w:val="0"/>
          <w:sz w:val="15"/>
          <w:szCs w:val="15"/>
        </w:rPr>
        <w:t> </w:t>
      </w:r>
    </w:p>
    <w:tbl>
      <w:tblPr>
        <w:tblW w:w="60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7"/>
        <w:gridCol w:w="712"/>
        <w:gridCol w:w="3681"/>
      </w:tblGrid>
      <w:tr w:rsidR="0095598C" w:rsidRPr="0095598C" w:rsidTr="0095598C">
        <w:trPr>
          <w:trHeight w:val="542"/>
          <w:jc w:val="center"/>
        </w:trPr>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jc w:val="center"/>
              <w:rPr>
                <w:rFonts w:ascii="宋体" w:eastAsia="宋体" w:hAnsi="宋体" w:cs="宋体"/>
                <w:kern w:val="0"/>
                <w:sz w:val="24"/>
                <w:szCs w:val="24"/>
              </w:rPr>
            </w:pPr>
            <w:r w:rsidRPr="0095598C">
              <w:rPr>
                <w:rFonts w:ascii="黑体" w:eastAsia="黑体" w:hAnsi="黑体" w:cs="宋体" w:hint="eastAsia"/>
                <w:color w:val="000000"/>
                <w:kern w:val="0"/>
                <w:sz w:val="24"/>
                <w:szCs w:val="24"/>
              </w:rPr>
              <w:t>指</w:t>
            </w:r>
            <w:r w:rsidRPr="0095598C">
              <w:rPr>
                <w:rFonts w:ascii="Calibri" w:eastAsia="黑体" w:hAnsi="Calibri" w:cs="Calibri"/>
                <w:color w:val="000000"/>
                <w:kern w:val="0"/>
                <w:sz w:val="24"/>
                <w:szCs w:val="24"/>
              </w:rPr>
              <w:t> </w:t>
            </w:r>
            <w:r w:rsidRPr="0095598C">
              <w:rPr>
                <w:rFonts w:ascii="黑体" w:eastAsia="黑体" w:hAnsi="黑体" w:cs="宋体" w:hint="eastAsia"/>
                <w:color w:val="000000"/>
                <w:kern w:val="0"/>
                <w:sz w:val="24"/>
                <w:szCs w:val="24"/>
              </w:rPr>
              <w:t xml:space="preserve"> 标</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jc w:val="center"/>
              <w:rPr>
                <w:rFonts w:ascii="宋体" w:eastAsia="宋体" w:hAnsi="宋体" w:cs="宋体"/>
                <w:kern w:val="0"/>
                <w:sz w:val="24"/>
                <w:szCs w:val="24"/>
              </w:rPr>
            </w:pPr>
            <w:r w:rsidRPr="0095598C">
              <w:rPr>
                <w:rFonts w:ascii="黑体" w:eastAsia="黑体" w:hAnsi="黑体" w:cs="宋体" w:hint="eastAsia"/>
                <w:color w:val="000000"/>
                <w:kern w:val="0"/>
                <w:sz w:val="24"/>
                <w:szCs w:val="24"/>
              </w:rPr>
              <w:t>分值</w:t>
            </w:r>
          </w:p>
        </w:tc>
        <w:tc>
          <w:tcPr>
            <w:tcW w:w="58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jc w:val="center"/>
              <w:rPr>
                <w:rFonts w:ascii="宋体" w:eastAsia="宋体" w:hAnsi="宋体" w:cs="宋体"/>
                <w:kern w:val="0"/>
                <w:sz w:val="24"/>
                <w:szCs w:val="24"/>
              </w:rPr>
            </w:pPr>
            <w:r w:rsidRPr="0095598C">
              <w:rPr>
                <w:rFonts w:ascii="黑体" w:eastAsia="黑体" w:hAnsi="黑体" w:cs="宋体" w:hint="eastAsia"/>
                <w:color w:val="000000"/>
                <w:kern w:val="0"/>
                <w:sz w:val="24"/>
                <w:szCs w:val="24"/>
              </w:rPr>
              <w:t>评 分 标 准</w:t>
            </w:r>
          </w:p>
        </w:tc>
      </w:tr>
      <w:tr w:rsidR="0095598C" w:rsidRPr="0095598C" w:rsidTr="0095598C">
        <w:trPr>
          <w:trHeight w:val="1109"/>
          <w:jc w:val="center"/>
        </w:trPr>
        <w:tc>
          <w:tcPr>
            <w:tcW w:w="23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jc w:val="center"/>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企业上市、挂牌</w:t>
            </w:r>
          </w:p>
        </w:tc>
        <w:tc>
          <w:tcPr>
            <w:tcW w:w="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30</w:t>
            </w:r>
          </w:p>
        </w:tc>
        <w:tc>
          <w:tcPr>
            <w:tcW w:w="58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辅导企业成功上市的得满分。辅导企业在新三板、四板挂牌，每增加1家分别得10分、5分，加满30分为止；</w:t>
            </w:r>
          </w:p>
        </w:tc>
      </w:tr>
      <w:tr w:rsidR="0095598C" w:rsidRPr="0095598C" w:rsidTr="0095598C">
        <w:trPr>
          <w:trHeight w:val="870"/>
          <w:jc w:val="center"/>
        </w:trPr>
        <w:tc>
          <w:tcPr>
            <w:tcW w:w="23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税收贡献度</w:t>
            </w:r>
          </w:p>
        </w:tc>
        <w:tc>
          <w:tcPr>
            <w:tcW w:w="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30</w:t>
            </w:r>
          </w:p>
        </w:tc>
        <w:tc>
          <w:tcPr>
            <w:tcW w:w="58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属地纳税排名第一的证券机构得30分，其他证券机构的得分按照排序，级差1分递减计算分值；</w:t>
            </w:r>
          </w:p>
        </w:tc>
      </w:tr>
      <w:tr w:rsidR="0095598C" w:rsidRPr="0095598C" w:rsidTr="0095598C">
        <w:trPr>
          <w:trHeight w:val="1036"/>
          <w:jc w:val="center"/>
        </w:trPr>
        <w:tc>
          <w:tcPr>
            <w:tcW w:w="23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jc w:val="center"/>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债券融资</w:t>
            </w:r>
          </w:p>
        </w:tc>
        <w:tc>
          <w:tcPr>
            <w:tcW w:w="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10</w:t>
            </w:r>
          </w:p>
        </w:tc>
        <w:tc>
          <w:tcPr>
            <w:tcW w:w="58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当年成功发行城投债、企业债、公司债的得满分；已进入实质性审批阶段，纳入下一年发行计划的得5分；</w:t>
            </w:r>
          </w:p>
        </w:tc>
      </w:tr>
      <w:tr w:rsidR="0095598C" w:rsidRPr="0095598C" w:rsidTr="0095598C">
        <w:trPr>
          <w:trHeight w:val="1471"/>
          <w:jc w:val="center"/>
        </w:trPr>
        <w:tc>
          <w:tcPr>
            <w:tcW w:w="23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业务发展</w:t>
            </w:r>
          </w:p>
        </w:tc>
        <w:tc>
          <w:tcPr>
            <w:tcW w:w="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jc w:val="center"/>
              <w:rPr>
                <w:rFonts w:ascii="宋体" w:eastAsia="宋体" w:hAnsi="宋体" w:cs="宋体"/>
                <w:kern w:val="0"/>
                <w:sz w:val="24"/>
                <w:szCs w:val="24"/>
              </w:rPr>
            </w:pPr>
            <w:r w:rsidRPr="0095598C">
              <w:rPr>
                <w:rFonts w:ascii="仿宋_GB2312" w:eastAsia="仿宋_GB2312" w:hAnsi="宋体" w:cs="宋体" w:hint="eastAsia"/>
                <w:color w:val="000000"/>
                <w:kern w:val="0"/>
                <w:sz w:val="24"/>
                <w:szCs w:val="24"/>
              </w:rPr>
              <w:t>10</w:t>
            </w:r>
          </w:p>
        </w:tc>
        <w:tc>
          <w:tcPr>
            <w:tcW w:w="58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以上年客户资产总额为基数，达到基数的得3分，每增长1个百分点加1分，最多加至不超过5分；以上年全年累计交易总额为基数，达到基数的得3分，每增长1个百分点加1分，最多加至不超过5分；</w:t>
            </w:r>
          </w:p>
        </w:tc>
      </w:tr>
      <w:tr w:rsidR="0095598C" w:rsidRPr="0095598C" w:rsidTr="0095598C">
        <w:trPr>
          <w:trHeight w:val="1181"/>
          <w:jc w:val="center"/>
        </w:trPr>
        <w:tc>
          <w:tcPr>
            <w:tcW w:w="23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jc w:val="center"/>
              <w:rPr>
                <w:rFonts w:ascii="宋体" w:eastAsia="宋体" w:hAnsi="宋体" w:cs="宋体"/>
                <w:kern w:val="0"/>
                <w:sz w:val="24"/>
                <w:szCs w:val="24"/>
              </w:rPr>
            </w:pPr>
            <w:r w:rsidRPr="0095598C">
              <w:rPr>
                <w:rFonts w:ascii="仿宋_GB2312" w:eastAsia="仿宋_GB2312" w:hAnsi="宋体" w:cs="宋体" w:hint="eastAsia"/>
                <w:kern w:val="0"/>
                <w:sz w:val="24"/>
                <w:szCs w:val="24"/>
              </w:rPr>
              <w:t>金融改革创新</w:t>
            </w:r>
          </w:p>
        </w:tc>
        <w:tc>
          <w:tcPr>
            <w:tcW w:w="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jc w:val="center"/>
              <w:rPr>
                <w:rFonts w:ascii="宋体" w:eastAsia="宋体" w:hAnsi="宋体" w:cs="宋体"/>
                <w:kern w:val="0"/>
                <w:sz w:val="24"/>
                <w:szCs w:val="24"/>
              </w:rPr>
            </w:pPr>
            <w:r w:rsidRPr="0095598C">
              <w:rPr>
                <w:rFonts w:ascii="仿宋_GB2312" w:eastAsia="仿宋_GB2312" w:hAnsi="宋体" w:cs="宋体" w:hint="eastAsia"/>
                <w:kern w:val="0"/>
                <w:sz w:val="24"/>
                <w:szCs w:val="24"/>
              </w:rPr>
              <w:t>20</w:t>
            </w:r>
          </w:p>
        </w:tc>
        <w:tc>
          <w:tcPr>
            <w:tcW w:w="58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ind w:firstLine="496"/>
              <w:jc w:val="left"/>
              <w:rPr>
                <w:rFonts w:ascii="宋体" w:eastAsia="宋体" w:hAnsi="宋体" w:cs="宋体"/>
                <w:kern w:val="0"/>
                <w:sz w:val="24"/>
                <w:szCs w:val="24"/>
              </w:rPr>
            </w:pPr>
            <w:r w:rsidRPr="0095598C">
              <w:rPr>
                <w:rFonts w:ascii="仿宋_GB2312" w:eastAsia="仿宋_GB2312" w:hAnsi="宋体" w:cs="宋体" w:hint="eastAsia"/>
                <w:spacing w:val="6"/>
                <w:kern w:val="0"/>
                <w:sz w:val="24"/>
                <w:szCs w:val="24"/>
              </w:rPr>
              <w:t>创新开展多层次资本市场建设培训辅导和资本与产业对接活动，定期开展咸宁市企业上市挂牌辅导及</w:t>
            </w:r>
            <w:proofErr w:type="gramStart"/>
            <w:r w:rsidRPr="0095598C">
              <w:rPr>
                <w:rFonts w:ascii="仿宋_GB2312" w:eastAsia="仿宋_GB2312" w:hAnsi="宋体" w:cs="宋体" w:hint="eastAsia"/>
                <w:spacing w:val="6"/>
                <w:kern w:val="0"/>
                <w:sz w:val="24"/>
                <w:szCs w:val="24"/>
              </w:rPr>
              <w:t>基金县市区巡回路</w:t>
            </w:r>
            <w:proofErr w:type="gramEnd"/>
            <w:r w:rsidRPr="0095598C">
              <w:rPr>
                <w:rFonts w:ascii="仿宋_GB2312" w:eastAsia="仿宋_GB2312" w:hAnsi="宋体" w:cs="宋体" w:hint="eastAsia"/>
                <w:spacing w:val="6"/>
                <w:kern w:val="0"/>
                <w:sz w:val="24"/>
                <w:szCs w:val="24"/>
              </w:rPr>
              <w:t>演活动；</w:t>
            </w:r>
          </w:p>
        </w:tc>
      </w:tr>
      <w:tr w:rsidR="0095598C" w:rsidRPr="0095598C" w:rsidTr="0095598C">
        <w:trPr>
          <w:trHeight w:val="1172"/>
          <w:jc w:val="center"/>
        </w:trPr>
        <w:tc>
          <w:tcPr>
            <w:tcW w:w="23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jc w:val="center"/>
              <w:rPr>
                <w:rFonts w:ascii="宋体" w:eastAsia="宋体" w:hAnsi="宋体" w:cs="宋体"/>
                <w:kern w:val="0"/>
                <w:sz w:val="24"/>
                <w:szCs w:val="24"/>
              </w:rPr>
            </w:pPr>
            <w:r w:rsidRPr="0095598C">
              <w:rPr>
                <w:rFonts w:ascii="仿宋_GB2312" w:eastAsia="仿宋_GB2312" w:hAnsi="宋体" w:cs="宋体" w:hint="eastAsia"/>
                <w:kern w:val="0"/>
                <w:sz w:val="24"/>
                <w:szCs w:val="24"/>
              </w:rPr>
              <w:t>加分项</w:t>
            </w:r>
          </w:p>
        </w:tc>
        <w:tc>
          <w:tcPr>
            <w:tcW w:w="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jc w:val="center"/>
              <w:rPr>
                <w:rFonts w:ascii="宋体" w:eastAsia="宋体" w:hAnsi="宋体" w:cs="宋体"/>
                <w:kern w:val="0"/>
                <w:sz w:val="24"/>
                <w:szCs w:val="24"/>
              </w:rPr>
            </w:pPr>
            <w:r w:rsidRPr="0095598C">
              <w:rPr>
                <w:rFonts w:ascii="仿宋_GB2312" w:eastAsia="仿宋_GB2312" w:hAnsi="宋体" w:cs="宋体" w:hint="eastAsia"/>
                <w:kern w:val="0"/>
                <w:sz w:val="24"/>
                <w:szCs w:val="24"/>
              </w:rPr>
              <w:t>5</w:t>
            </w:r>
          </w:p>
        </w:tc>
        <w:tc>
          <w:tcPr>
            <w:tcW w:w="58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5598C" w:rsidRPr="0095598C" w:rsidRDefault="0095598C" w:rsidP="0095598C">
            <w:pPr>
              <w:widowControl/>
              <w:spacing w:line="280" w:lineRule="atLeast"/>
              <w:ind w:firstLine="496"/>
              <w:jc w:val="left"/>
              <w:rPr>
                <w:rFonts w:ascii="宋体" w:eastAsia="宋体" w:hAnsi="宋体" w:cs="宋体"/>
                <w:kern w:val="0"/>
                <w:sz w:val="24"/>
                <w:szCs w:val="24"/>
              </w:rPr>
            </w:pPr>
            <w:proofErr w:type="gramStart"/>
            <w:r w:rsidRPr="0095598C">
              <w:rPr>
                <w:rFonts w:ascii="仿宋_GB2312" w:eastAsia="仿宋_GB2312" w:hAnsi="宋体" w:cs="宋体" w:hint="eastAsia"/>
                <w:spacing w:val="6"/>
                <w:kern w:val="0"/>
                <w:sz w:val="24"/>
                <w:szCs w:val="24"/>
              </w:rPr>
              <w:t>支持抓好</w:t>
            </w:r>
            <w:proofErr w:type="gramEnd"/>
            <w:r w:rsidRPr="0095598C">
              <w:rPr>
                <w:rFonts w:ascii="仿宋_GB2312" w:eastAsia="仿宋_GB2312" w:hAnsi="宋体" w:cs="宋体" w:hint="eastAsia"/>
                <w:spacing w:val="6"/>
                <w:kern w:val="0"/>
                <w:sz w:val="24"/>
                <w:szCs w:val="24"/>
              </w:rPr>
              <w:t>招商引资工作，为咸宁经济发展提供更多的“源头活水”和项目支撑，引进企业或项目落地见效的该项得满分（该项不减分）。</w:t>
            </w:r>
          </w:p>
        </w:tc>
      </w:tr>
    </w:tbl>
    <w:p w:rsidR="001846FF" w:rsidRPr="0095598C" w:rsidRDefault="0095598C">
      <w:r w:rsidRPr="0095598C">
        <w:rPr>
          <w:rFonts w:ascii="宋体" w:eastAsia="宋体" w:hAnsi="宋体" w:cs="宋体" w:hint="eastAsia"/>
          <w:kern w:val="0"/>
          <w:szCs w:val="21"/>
        </w:rPr>
        <w:br/>
      </w:r>
      <w:r w:rsidRPr="0095598C">
        <w:rPr>
          <w:rFonts w:ascii="宋体" w:eastAsia="宋体" w:hAnsi="宋体" w:cs="宋体" w:hint="eastAsia"/>
          <w:kern w:val="0"/>
          <w:szCs w:val="21"/>
        </w:rPr>
        <w:br/>
      </w:r>
    </w:p>
    <w:sectPr w:rsidR="001846FF" w:rsidRPr="009559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3C1"/>
    <w:rsid w:val="001C63C1"/>
    <w:rsid w:val="0095598C"/>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BE2CE-C69D-44D0-8B34-CC3467AF3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95598C"/>
    <w:pPr>
      <w:widowControl/>
      <w:jc w:val="left"/>
      <w:outlineLvl w:val="1"/>
    </w:pPr>
    <w:rPr>
      <w:rFonts w:ascii="宋体" w:eastAsia="宋体" w:hAnsi="宋体"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5598C"/>
    <w:rPr>
      <w:rFonts w:ascii="宋体" w:eastAsia="宋体" w:hAnsi="宋体" w:cs="宋体"/>
      <w:kern w:val="0"/>
      <w:sz w:val="27"/>
      <w:szCs w:val="27"/>
    </w:rPr>
  </w:style>
  <w:style w:type="character" w:styleId="a3">
    <w:name w:val="Hyperlink"/>
    <w:basedOn w:val="a0"/>
    <w:uiPriority w:val="99"/>
    <w:semiHidden/>
    <w:unhideWhenUsed/>
    <w:rsid w:val="0095598C"/>
    <w:rPr>
      <w:strike w:val="0"/>
      <w:dstrike w:val="0"/>
      <w:color w:val="333333"/>
      <w:u w:val="none"/>
      <w:effect w:val="none"/>
    </w:rPr>
  </w:style>
  <w:style w:type="paragraph" w:styleId="a4">
    <w:name w:val="Normal (Web)"/>
    <w:basedOn w:val="a"/>
    <w:uiPriority w:val="99"/>
    <w:semiHidden/>
    <w:unhideWhenUsed/>
    <w:rsid w:val="0095598C"/>
    <w:pPr>
      <w:widowControl/>
      <w:jc w:val="left"/>
    </w:pPr>
    <w:rPr>
      <w:rFonts w:ascii="宋体" w:eastAsia="宋体" w:hAnsi="宋体" w:cs="宋体"/>
      <w:kern w:val="0"/>
      <w:sz w:val="24"/>
      <w:szCs w:val="24"/>
    </w:rPr>
  </w:style>
  <w:style w:type="character" w:customStyle="1" w:styleId="fl">
    <w:name w:val="fl"/>
    <w:basedOn w:val="a0"/>
    <w:rsid w:val="0095598C"/>
  </w:style>
  <w:style w:type="character" w:customStyle="1" w:styleId="fr">
    <w:name w:val="fr"/>
    <w:basedOn w:val="a0"/>
    <w:rsid w:val="00955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312737">
      <w:bodyDiv w:val="1"/>
      <w:marLeft w:val="0"/>
      <w:marRight w:val="0"/>
      <w:marTop w:val="0"/>
      <w:marBottom w:val="0"/>
      <w:divBdr>
        <w:top w:val="none" w:sz="0" w:space="0" w:color="auto"/>
        <w:left w:val="none" w:sz="0" w:space="0" w:color="auto"/>
        <w:bottom w:val="none" w:sz="0" w:space="0" w:color="auto"/>
        <w:right w:val="none" w:sz="0" w:space="0" w:color="auto"/>
      </w:divBdr>
      <w:divsChild>
        <w:div w:id="1858957498">
          <w:marLeft w:val="0"/>
          <w:marRight w:val="0"/>
          <w:marTop w:val="0"/>
          <w:marBottom w:val="0"/>
          <w:divBdr>
            <w:top w:val="none" w:sz="0" w:space="0" w:color="auto"/>
            <w:left w:val="none" w:sz="0" w:space="0" w:color="auto"/>
            <w:bottom w:val="none" w:sz="0" w:space="0" w:color="auto"/>
            <w:right w:val="none" w:sz="0" w:space="0" w:color="auto"/>
          </w:divBdr>
          <w:divsChild>
            <w:div w:id="1649088893">
              <w:marLeft w:val="0"/>
              <w:marRight w:val="0"/>
              <w:marTop w:val="0"/>
              <w:marBottom w:val="0"/>
              <w:divBdr>
                <w:top w:val="none" w:sz="0" w:space="0" w:color="auto"/>
                <w:left w:val="none" w:sz="0" w:space="0" w:color="auto"/>
                <w:bottom w:val="none" w:sz="0" w:space="0" w:color="auto"/>
                <w:right w:val="none" w:sz="0" w:space="0" w:color="auto"/>
              </w:divBdr>
            </w:div>
            <w:div w:id="1037118523">
              <w:marLeft w:val="0"/>
              <w:marRight w:val="0"/>
              <w:marTop w:val="0"/>
              <w:marBottom w:val="0"/>
              <w:divBdr>
                <w:top w:val="none" w:sz="0" w:space="0" w:color="auto"/>
                <w:left w:val="none" w:sz="0" w:space="0" w:color="auto"/>
                <w:bottom w:val="single" w:sz="6" w:space="0" w:color="E5E5E5"/>
                <w:right w:val="none" w:sz="0" w:space="0" w:color="auto"/>
              </w:divBdr>
            </w:div>
            <w:div w:id="189295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709</Words>
  <Characters>4042</Characters>
  <Application>Microsoft Office Word</Application>
  <DocSecurity>0</DocSecurity>
  <Lines>33</Lines>
  <Paragraphs>9</Paragraphs>
  <ScaleCrop>false</ScaleCrop>
  <Company/>
  <LinksUpToDate>false</LinksUpToDate>
  <CharactersWithSpaces>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2018-05-11T05:50:00Z</dcterms:created>
  <dcterms:modified xsi:type="dcterms:W3CDTF">2018-05-11T05:50:00Z</dcterms:modified>
</cp:coreProperties>
</file>