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605" w:type="dxa"/>
        <w:tblInd w:w="0" w:type="dxa"/>
        <w:shd w:val="clear" w:color="auto" w:fill="FFF6E5"/>
        <w:tblLayout w:type="fixed"/>
        <w:tblCellMar>
          <w:top w:w="0" w:type="dxa"/>
          <w:left w:w="0" w:type="dxa"/>
          <w:bottom w:w="0" w:type="dxa"/>
          <w:right w:w="0" w:type="dxa"/>
        </w:tblCellMar>
      </w:tblPr>
      <w:tblGrid>
        <w:gridCol w:w="4585"/>
        <w:gridCol w:w="4020"/>
      </w:tblGrid>
      <w:tr>
        <w:tblPrEx>
          <w:shd w:val="clear" w:color="auto" w:fill="FFF6E5"/>
          <w:tblLayout w:type="fixed"/>
          <w:tblCellMar>
            <w:top w:w="0" w:type="dxa"/>
            <w:left w:w="0" w:type="dxa"/>
            <w:bottom w:w="0" w:type="dxa"/>
            <w:right w:w="0" w:type="dxa"/>
          </w:tblCellMar>
        </w:tblPrEx>
        <w:tc>
          <w:tcPr>
            <w:tcW w:w="4585" w:type="dxa"/>
            <w:shd w:val="clear" w:color="auto" w:fill="FFF6E5"/>
            <w:tcMar>
              <w:left w:w="300" w:type="dxa"/>
            </w:tcMar>
            <w:vAlign w:val="center"/>
          </w:tcPr>
          <w:p>
            <w:pPr>
              <w:keepNext w:val="0"/>
              <w:keepLines w:val="0"/>
              <w:widowControl/>
              <w:suppressLineNumbers w:val="0"/>
              <w:spacing w:before="0" w:beforeAutospacing="0" w:after="0" w:afterAutospacing="0" w:line="390" w:lineRule="atLeast"/>
              <w:ind w:left="0" w:right="0" w:firstLine="0"/>
              <w:jc w:val="left"/>
              <w:rPr>
                <w:rFonts w:ascii="微软雅黑" w:hAnsi="微软雅黑" w:eastAsia="微软雅黑" w:cs="微软雅黑"/>
                <w:b w:val="0"/>
                <w:i w:val="0"/>
                <w:caps w:val="0"/>
                <w:color w:val="333333"/>
                <w:spacing w:val="0"/>
                <w:sz w:val="18"/>
                <w:szCs w:val="18"/>
              </w:rPr>
            </w:pPr>
            <w:r>
              <w:rPr>
                <w:rStyle w:val="3"/>
                <w:rFonts w:hint="eastAsia" w:ascii="微软雅黑" w:hAnsi="微软雅黑" w:eastAsia="微软雅黑" w:cs="微软雅黑"/>
                <w:i w:val="0"/>
                <w:caps w:val="0"/>
                <w:color w:val="333333"/>
                <w:spacing w:val="0"/>
                <w:kern w:val="0"/>
                <w:sz w:val="18"/>
                <w:szCs w:val="18"/>
                <w:bdr w:val="none" w:color="auto" w:sz="0" w:space="0"/>
                <w:lang w:val="en-US" w:eastAsia="zh-CN" w:bidi="ar"/>
              </w:rPr>
              <w:t>索 引 号：</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NP03100-0103-2017-00023</w:t>
            </w:r>
          </w:p>
        </w:tc>
        <w:tc>
          <w:tcPr>
            <w:tcW w:w="4020" w:type="dxa"/>
            <w:shd w:val="clear" w:color="auto" w:fill="FFF6E5"/>
            <w:tcMar>
              <w:left w:w="300"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333333"/>
                <w:spacing w:val="0"/>
                <w:sz w:val="18"/>
                <w:szCs w:val="18"/>
              </w:rPr>
            </w:pPr>
            <w:r>
              <w:rPr>
                <w:rStyle w:val="3"/>
                <w:rFonts w:hint="eastAsia" w:ascii="微软雅黑" w:hAnsi="微软雅黑" w:eastAsia="微软雅黑" w:cs="微软雅黑"/>
                <w:i w:val="0"/>
                <w:caps w:val="0"/>
                <w:color w:val="333333"/>
                <w:spacing w:val="0"/>
                <w:kern w:val="0"/>
                <w:sz w:val="18"/>
                <w:szCs w:val="18"/>
                <w:bdr w:val="none" w:color="auto" w:sz="0" w:space="0"/>
                <w:lang w:val="en-US" w:eastAsia="zh-CN" w:bidi="ar"/>
              </w:rPr>
              <w:t>备注/文号：</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武政综〔2017〕243号</w:t>
            </w:r>
          </w:p>
        </w:tc>
      </w:tr>
      <w:tr>
        <w:tblPrEx>
          <w:shd w:val="clear" w:color="auto" w:fill="FFF6E5"/>
          <w:tblLayout w:type="fixed"/>
          <w:tblCellMar>
            <w:top w:w="0" w:type="dxa"/>
            <w:left w:w="0" w:type="dxa"/>
            <w:bottom w:w="0" w:type="dxa"/>
            <w:right w:w="0" w:type="dxa"/>
          </w:tblCellMar>
        </w:tblPrEx>
        <w:tc>
          <w:tcPr>
            <w:tcW w:w="4585" w:type="dxa"/>
            <w:shd w:val="clear" w:color="auto" w:fill="FFF6E5"/>
            <w:tcMar>
              <w:left w:w="300"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333333"/>
                <w:spacing w:val="0"/>
                <w:sz w:val="18"/>
                <w:szCs w:val="18"/>
              </w:rPr>
            </w:pPr>
            <w:r>
              <w:rPr>
                <w:rStyle w:val="3"/>
                <w:rFonts w:hint="eastAsia" w:ascii="微软雅黑" w:hAnsi="微软雅黑" w:eastAsia="微软雅黑" w:cs="微软雅黑"/>
                <w:i w:val="0"/>
                <w:caps w:val="0"/>
                <w:color w:val="333333"/>
                <w:spacing w:val="0"/>
                <w:kern w:val="0"/>
                <w:sz w:val="18"/>
                <w:szCs w:val="18"/>
                <w:bdr w:val="none" w:color="auto" w:sz="0" w:space="0"/>
                <w:lang w:val="en-US" w:eastAsia="zh-CN" w:bidi="ar"/>
              </w:rPr>
              <w:t>发布机构：</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武夷山市人民政府</w:t>
            </w:r>
          </w:p>
        </w:tc>
        <w:tc>
          <w:tcPr>
            <w:tcW w:w="4020" w:type="dxa"/>
            <w:shd w:val="clear" w:color="auto" w:fill="FFF6E5"/>
            <w:tcMar>
              <w:left w:w="300"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微软雅黑" w:hAnsi="微软雅黑" w:eastAsia="微软雅黑" w:cs="微软雅黑"/>
                <w:b w:val="0"/>
                <w:i w:val="0"/>
                <w:caps w:val="0"/>
                <w:color w:val="333333"/>
                <w:spacing w:val="0"/>
                <w:sz w:val="18"/>
                <w:szCs w:val="18"/>
              </w:rPr>
            </w:pPr>
            <w:r>
              <w:rPr>
                <w:rStyle w:val="3"/>
                <w:rFonts w:hint="eastAsia" w:ascii="微软雅黑" w:hAnsi="微软雅黑" w:eastAsia="微软雅黑" w:cs="微软雅黑"/>
                <w:i w:val="0"/>
                <w:caps w:val="0"/>
                <w:color w:val="333333"/>
                <w:spacing w:val="0"/>
                <w:kern w:val="0"/>
                <w:sz w:val="18"/>
                <w:szCs w:val="18"/>
                <w:bdr w:val="none" w:color="auto" w:sz="0" w:space="0"/>
                <w:lang w:val="en-US" w:eastAsia="zh-CN" w:bidi="ar"/>
              </w:rPr>
              <w:t>生成日期：</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2018-01-07</w:t>
            </w:r>
          </w:p>
        </w:tc>
      </w:tr>
      <w:tr>
        <w:tblPrEx>
          <w:shd w:val="clear" w:color="auto" w:fill="FFF6E5"/>
          <w:tblLayout w:type="fixed"/>
          <w:tblCellMar>
            <w:top w:w="0" w:type="dxa"/>
            <w:left w:w="0" w:type="dxa"/>
            <w:bottom w:w="0" w:type="dxa"/>
            <w:right w:w="0" w:type="dxa"/>
          </w:tblCellMar>
        </w:tblPrEx>
        <w:trPr>
          <w:trHeight w:val="151" w:hRule="atLeast"/>
        </w:trPr>
        <w:tc>
          <w:tcPr>
            <w:tcW w:w="8605" w:type="dxa"/>
            <w:gridSpan w:val="2"/>
            <w:shd w:val="clear" w:color="auto" w:fill="FFF6E5"/>
            <w:tcMar>
              <w:left w:w="300" w:type="dxa"/>
            </w:tcMar>
            <w:vAlign w:val="center"/>
          </w:tcPr>
          <w:p>
            <w:pPr>
              <w:jc w:val="left"/>
              <w:rPr>
                <w:rFonts w:hint="eastAsia" w:ascii="微软雅黑" w:hAnsi="微软雅黑" w:eastAsia="微软雅黑" w:cs="微软雅黑"/>
                <w:b w:val="0"/>
                <w:i w:val="0"/>
                <w:caps w:val="0"/>
                <w:color w:val="333333"/>
                <w:spacing w:val="0"/>
                <w:sz w:val="18"/>
                <w:szCs w:val="18"/>
              </w:rPr>
            </w:pPr>
          </w:p>
        </w:tc>
      </w:tr>
    </w:tbl>
    <w:p>
      <w:pPr>
        <w:keepNext w:val="0"/>
        <w:keepLines w:val="0"/>
        <w:widowControl/>
        <w:suppressLineNumbers w:val="0"/>
        <w:pBdr>
          <w:top w:val="none" w:color="auto" w:sz="0" w:space="0"/>
          <w:left w:val="none" w:color="auto" w:sz="0" w:space="0"/>
          <w:bottom w:val="single" w:color="DADADA" w:sz="6" w:space="15"/>
          <w:right w:val="none" w:color="auto" w:sz="0" w:space="0"/>
        </w:pBdr>
        <w:shd w:val="clear" w:fill="FFFFFF"/>
        <w:spacing w:before="0" w:beforeAutospacing="0" w:after="0" w:afterAutospacing="0" w:line="495" w:lineRule="atLeast"/>
        <w:ind w:left="0" w:right="0" w:firstLine="0"/>
        <w:jc w:val="center"/>
        <w:rPr>
          <w:rFonts w:ascii="微软雅黑" w:hAnsi="微软雅黑" w:eastAsia="微软雅黑" w:cs="微软雅黑"/>
          <w:b w:val="0"/>
          <w:i w:val="0"/>
          <w:caps w:val="0"/>
          <w:color w:val="D31616"/>
          <w:spacing w:val="0"/>
          <w:sz w:val="33"/>
          <w:szCs w:val="33"/>
        </w:rPr>
      </w:pPr>
      <w:bookmarkStart w:id="0" w:name="_GoBack"/>
      <w:r>
        <w:rPr>
          <w:rFonts w:hint="eastAsia" w:ascii="微软雅黑" w:hAnsi="微软雅黑" w:eastAsia="微软雅黑" w:cs="微软雅黑"/>
          <w:b w:val="0"/>
          <w:i w:val="0"/>
          <w:caps w:val="0"/>
          <w:color w:val="D31616"/>
          <w:spacing w:val="0"/>
          <w:kern w:val="0"/>
          <w:sz w:val="33"/>
          <w:szCs w:val="33"/>
          <w:bdr w:val="none" w:color="auto" w:sz="0" w:space="0"/>
          <w:shd w:val="clear" w:fill="FFFFFF"/>
          <w:lang w:val="en-US" w:eastAsia="zh-CN" w:bidi="ar"/>
        </w:rPr>
        <w:t>武夷山市人民政府关于印发《武夷山市农业绿色高产高效项目方案》的通知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bdr w:val="none" w:color="auto" w:sz="0" w:space="0"/>
          <w:shd w:val="clear" w:fill="FFFFFF"/>
          <w:lang w:val="en-US" w:eastAsia="zh-CN" w:bidi="ar"/>
        </w:rPr>
        <w:t>时间：2018-01-07   来源： | 点击数：170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武政综〔2017〕243号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333333"/>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E53333"/>
          <w:spacing w:val="0"/>
          <w:kern w:val="0"/>
          <w:sz w:val="36"/>
          <w:szCs w:val="36"/>
          <w:bdr w:val="none" w:color="auto" w:sz="0" w:space="0"/>
          <w:shd w:val="clear" w:fill="FFFFFF"/>
          <w:lang w:val="en-US" w:eastAsia="zh-CN" w:bidi="ar"/>
        </w:rPr>
        <w:t>武夷山市人民政府关于印发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E53333"/>
          <w:spacing w:val="0"/>
          <w:kern w:val="0"/>
          <w:sz w:val="36"/>
          <w:szCs w:val="36"/>
          <w:bdr w:val="none" w:color="auto" w:sz="0" w:space="0"/>
          <w:shd w:val="clear" w:fill="FFFFFF"/>
          <w:lang w:val="en-US" w:eastAsia="zh-CN" w:bidi="ar"/>
        </w:rPr>
        <w:t>《武夷山市农业绿色高产高效项目方案》的通知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各乡（镇）人民政府、街道办、农茶场，市直有关单位：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《武夷山市农业绿色高产高效项目方案》已经市政府研究同意，现印发给你们，请认真贯彻落实。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440"/>
        <w:jc w:val="righ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武夷山市人民政府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                            2017年12月29日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b w:val="0"/>
          <w:i w:val="0"/>
          <w:caps w:val="0"/>
          <w:color w:val="333333"/>
          <w:spacing w:val="0"/>
          <w:kern w:val="0"/>
          <w:sz w:val="36"/>
          <w:szCs w:val="36"/>
          <w:bdr w:val="none" w:color="auto" w:sz="0" w:space="0"/>
          <w:shd w:val="clear" w:fill="FFFFFF"/>
          <w:lang w:val="en-US" w:eastAsia="zh-CN" w:bidi="ar"/>
        </w:rPr>
        <w:t>武夷山市农业绿色高产高效项目实施方案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20"/>
        <w:jc w:val="center"/>
        <w:rPr>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根据福建省财政厅、农业厅《关于下达2017年农业绿色高产高效创建项目资金的通知》（闽财农指〔2017〕97号）精神，现结合我市实际，制定武夷山市农业绿色高产高效项目实施方案。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Style w:val="3"/>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以推进农业供给侧结构性改革为主线，以绿色发展为导向，以优化供给、提质增效、农民增收为目标，开展茶叶整县制创建，示范推广绿色高产高效技术模式，推进规模化种植、标准化生产、产业化经营，增加优质绿色农产品供给，引领农业生产方式转变，提升农业供给体系的质量和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Style w:val="3"/>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二、目标要求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整县制推进茶叶绿色高产高效创建工作。以种植大户、家庭农场、农民合作社、农业企业等为承担主体，以社会化服务为主要方式，大力推行“五个统一”，即统一良种供应、统一水肥管理、统一病虫防控、统一技术指导、统一机械作业，实现良种、良法、良机配套，提高生产组织化程度。力争实现以下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1.创建一批500亩以上的绿色高产高效生产示范片， 示范片节本增效5%以上、带动全县节本增效2%以上。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2.扶持新兴经营主体。培育种植大户、家庭农场、农民合作社、农业企业等新型经营主体50个以上。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3.集成一批绿色技术模式。茶叶集成示范一项以上高产高效、资源节约、生态环保技术模式。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4.促进节药增效。通过开展统防统治、病虫害绿色防控，示范片实现100%统防统治，统防统治或病虫害绿色防控在示范片实现全覆盖，全市农药用量较2016年减少7%以上。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Style w:val="3"/>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三、实施内容和补助标准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1.物化投入补助。安装太阳能杀虫灯和建设农药包装物集中处置点。围绕资源高效利用，示范推广绿色生态环保技术。按每50亩茶园安装一盏灯，杀虫灯的性能由茶业局确定，询价小组按最低询价价格给予补助；每100亩建设一个防雨的废弃物处置点，需混凝土现浇，每个点体积要求2立方米，每立方米补助500元。以上两项补助总额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2.社会化服务补助。对购买茶园统防统治等社会化服务进行补助，统防统治应与现行补助标准相衔接。统防统治参照水稻的统防统治的方式，由乡镇（街道）茶业站和村农技人员审核，每年每亩防治次数不超过3次，示范点内开展统防统治作业的补助标准25元/亩/次。补助总额150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3.品牌创建。鼓励企业开展“三品一标”创建活动，增加优质绿色农产品供给，要求实施农业绿色高产高效项目企业都要申请使用绿色食品标志，对已使用绿色食品标志的茶叶企业，优先安排农业绿色高产高效项目；茶叶企业在实施农业绿色高产高效项目后，必须申请使用绿色食品标志，否则不予补助。对实施农业绿色高产高效项目后获得使用绿色食品标志资格的企业，按每个证书10000元给予补助，补助总额150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Style w:val="3"/>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四、申报主体资格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24"/>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1.武夷山市注册的茶叶企业（SC/QS、营业执照）、茶叶合作社、茶叶家庭农场等经营主体，茶企业无违规开垦茶园行为，茶园相对连片500亩以上，有茶山林权证或茶山审批表，2008年以前所开垦的茶山由所在乡镇（街道）、林业站和村集体共同出具证明。2016年度或2017年度的税收达3万元以上（含），在同等条件下以税收高的优先安排。已享受过财政资金补助的杀虫灯不再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2.提供社会化服务单位是工商注册登记的企业或个体工商户；要有进行茶园统防统治作业的专业队伍，有相关的专业技术人员，相应的机具。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Style w:val="3"/>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五、保障措施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1.强化组织领导</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w:t>
      </w: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成立由分管农业副市长担任组长的领导小组和专家指导小组，协调相关单位和人员，负责绿色高产高效创建各项工作落实。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2.规范资金使用。规范使用项目资金，并设立专账，做到专款专用，专项核算，做到不挤占、挪用和套取项目资金。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3.加强档案管理。明确专人负责，及时将创建方案、考核、总结等文档、照片资料和资金使用台账归档立案，装订成册，按时完成数据库管理和信息录入。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4.积极宣传引导。在关键农时和重大活动时，邀请主流媒体开展系列宣传报道。充分挖掘各地的好做法、好经验、好典型，在省级以上媒体刊发一篇（或一版）绿色高产高效创建宣传材料，营造良好氛围。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5.统一树立标牌。及时更新并规范示范标牌，明确创建作物、创建目标、技术模式、行政及技术负责人等信息，便于宣传示范和监督检查。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6.强化政策衔接</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w:t>
      </w: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优先扶持种植业标准化示范区建设单位开展绿色高产高效生产示范片建设，同时，新扶持建设的绿色高产高效生产示范片全部按照《福建省农业厅关于印发推进农业标准化生产实施方案的通知》（闽农质监〔2016〕71号）文件有关要求，纳入种植业标准化示范区进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7.加强检查验收。项目按照《福建省现代农业（茶业）生产发展资金项目验收办法》，由市财政、茶业管理部门组织验收，实行“谁验收、谁签字、谁负责”的工作责任制，项目验收合格后，方可拨付补助资金。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8.加强项目实施过程中的安全工作。申报企业在项目施工过程中严把安全关，严格遵守安全生产操作规程，注意安全用电、安全用火等，确保项目实施过程中的安全。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微软雅黑" w:hAnsi="微软雅黑" w:eastAsia="微软雅黑" w:cs="微软雅黑"/>
          <w:b w:val="0"/>
          <w:i w:val="0"/>
          <w:caps w:val="0"/>
          <w:color w:val="333333"/>
          <w:spacing w:val="0"/>
          <w:kern w:val="0"/>
          <w:sz w:val="27"/>
          <w:szCs w:val="27"/>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微软雅黑" w:hAnsi="微软雅黑" w:eastAsia="微软雅黑" w:cs="微软雅黑"/>
          <w:b w:val="0"/>
          <w:i w:val="0"/>
          <w:caps w:val="0"/>
          <w:color w:val="333333"/>
          <w:spacing w:val="0"/>
          <w:kern w:val="0"/>
          <w:sz w:val="27"/>
          <w:szCs w:val="27"/>
          <w:u w:val="single"/>
          <w:bdr w:val="none" w:color="auto" w:sz="0" w:space="0"/>
          <w:shd w:val="clear" w:fill="FFFFFF"/>
          <w:lang w:val="en-US" w:eastAsia="zh-CN" w:bidi="ar"/>
        </w:rPr>
        <w:t>  抄送：市委办，人大办，政协办，纪委办。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hint="eastAsia" w:ascii="微软雅黑" w:hAnsi="微软雅黑" w:eastAsia="微软雅黑" w:cs="微软雅黑"/>
          <w:b w:val="0"/>
          <w:i w:val="0"/>
          <w:caps w:val="0"/>
          <w:color w:val="333333"/>
          <w:spacing w:val="0"/>
          <w:kern w:val="0"/>
          <w:sz w:val="27"/>
          <w:szCs w:val="27"/>
          <w:u w:val="single"/>
          <w:bdr w:val="none" w:color="auto" w:sz="0" w:space="0"/>
          <w:shd w:val="clear" w:fill="FFFFFF"/>
          <w:lang w:val="en-US" w:eastAsia="zh-CN" w:bidi="ar"/>
        </w:rPr>
        <w:t>  武夷山市人民政府办公室                  2017年12月29日印发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C1951"/>
    <w:rsid w:val="47BC195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2018-06-07T08:54:00Z</dcterms:created>
  <dc:creator>lenovo</dc:creator>
  <cp:lastModifiedBy>lenovo</cp:lastModifiedBy>
  <dcterms:modified xsi:type="dcterms:W3CDTF">2018-06-07T08:54:48Z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