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E8064" w14:textId="77777777" w:rsidR="00265650" w:rsidRPr="00265650" w:rsidRDefault="00265650" w:rsidP="00265650">
      <w:pPr>
        <w:widowControl/>
        <w:jc w:val="center"/>
        <w:outlineLvl w:val="0"/>
        <w:rPr>
          <w:rFonts w:ascii="微软雅黑" w:eastAsia="微软雅黑" w:hAnsi="微软雅黑" w:cs="宋体"/>
          <w:b/>
          <w:bCs/>
          <w:color w:val="015293"/>
          <w:kern w:val="36"/>
          <w:sz w:val="33"/>
          <w:szCs w:val="33"/>
        </w:rPr>
      </w:pPr>
      <w:r w:rsidRPr="00265650">
        <w:rPr>
          <w:rFonts w:ascii="微软雅黑" w:eastAsia="微软雅黑" w:hAnsi="微软雅黑" w:cs="宋体" w:hint="eastAsia"/>
          <w:b/>
          <w:bCs/>
          <w:color w:val="015293"/>
          <w:kern w:val="36"/>
          <w:sz w:val="33"/>
          <w:szCs w:val="33"/>
        </w:rPr>
        <w:t>陕西省人民政府办公厅关于印发改革完善仿制药供应保障及使用政策工作方案的通知</w:t>
      </w:r>
    </w:p>
    <w:tbl>
      <w:tblPr>
        <w:tblW w:w="10320" w:type="dxa"/>
        <w:tblCellMar>
          <w:top w:w="15" w:type="dxa"/>
          <w:left w:w="15" w:type="dxa"/>
          <w:bottom w:w="15" w:type="dxa"/>
          <w:right w:w="15" w:type="dxa"/>
        </w:tblCellMar>
        <w:tblLook w:val="04A0" w:firstRow="1" w:lastRow="0" w:firstColumn="1" w:lastColumn="0" w:noHBand="0" w:noVBand="1"/>
      </w:tblPr>
      <w:tblGrid>
        <w:gridCol w:w="1218"/>
        <w:gridCol w:w="3900"/>
        <w:gridCol w:w="1219"/>
        <w:gridCol w:w="3825"/>
        <w:gridCol w:w="79"/>
        <w:gridCol w:w="79"/>
      </w:tblGrid>
      <w:tr w:rsidR="00265650" w:rsidRPr="00265650" w14:paraId="0AC0E8BE" w14:textId="77777777" w:rsidTr="00265650">
        <w:trPr>
          <w:trHeight w:val="330"/>
        </w:trPr>
        <w:tc>
          <w:tcPr>
            <w:tcW w:w="1050" w:type="dxa"/>
            <w:shd w:val="clear" w:color="auto" w:fill="F7F7F7"/>
            <w:tcMar>
              <w:top w:w="15" w:type="dxa"/>
              <w:left w:w="300" w:type="dxa"/>
              <w:bottom w:w="15" w:type="dxa"/>
              <w:right w:w="15" w:type="dxa"/>
            </w:tcMar>
            <w:vAlign w:val="center"/>
            <w:hideMark/>
          </w:tcPr>
          <w:p w14:paraId="3E6055B8" w14:textId="77777777" w:rsidR="00265650" w:rsidRPr="00265650" w:rsidRDefault="00265650" w:rsidP="00265650">
            <w:pPr>
              <w:widowControl/>
              <w:jc w:val="left"/>
              <w:rPr>
                <w:rFonts w:ascii="宋体" w:eastAsia="宋体" w:hAnsi="宋体" w:cs="宋体" w:hint="eastAsia"/>
                <w:b/>
                <w:bCs/>
                <w:kern w:val="0"/>
                <w:sz w:val="18"/>
                <w:szCs w:val="18"/>
              </w:rPr>
            </w:pPr>
            <w:r w:rsidRPr="00265650">
              <w:rPr>
                <w:rFonts w:ascii="宋体" w:eastAsia="宋体" w:hAnsi="宋体" w:cs="宋体"/>
                <w:b/>
                <w:bCs/>
                <w:kern w:val="0"/>
                <w:sz w:val="18"/>
                <w:szCs w:val="18"/>
              </w:rPr>
              <w:t>索 引 号：</w:t>
            </w:r>
          </w:p>
        </w:tc>
        <w:tc>
          <w:tcPr>
            <w:tcW w:w="3900" w:type="dxa"/>
            <w:shd w:val="clear" w:color="auto" w:fill="F7F7F7"/>
            <w:vAlign w:val="center"/>
            <w:hideMark/>
          </w:tcPr>
          <w:p w14:paraId="10C54212" w14:textId="77777777" w:rsidR="00265650" w:rsidRPr="00265650" w:rsidRDefault="00265650" w:rsidP="00265650">
            <w:pPr>
              <w:widowControl/>
              <w:jc w:val="left"/>
              <w:rPr>
                <w:rFonts w:ascii="宋体" w:eastAsia="宋体" w:hAnsi="宋体" w:cs="宋体"/>
                <w:kern w:val="0"/>
                <w:sz w:val="18"/>
                <w:szCs w:val="18"/>
              </w:rPr>
            </w:pPr>
            <w:r w:rsidRPr="00265650">
              <w:rPr>
                <w:rFonts w:ascii="宋体" w:eastAsia="宋体" w:hAnsi="宋体" w:cs="宋体"/>
                <w:kern w:val="0"/>
                <w:sz w:val="18"/>
                <w:szCs w:val="18"/>
              </w:rPr>
              <w:t>016000291szfbgt-2018-000296</w:t>
            </w:r>
            <w:bookmarkStart w:id="0" w:name="_GoBack"/>
            <w:bookmarkEnd w:id="0"/>
          </w:p>
        </w:tc>
        <w:tc>
          <w:tcPr>
            <w:tcW w:w="1050" w:type="dxa"/>
            <w:shd w:val="clear" w:color="auto" w:fill="F7F7F7"/>
            <w:tcMar>
              <w:top w:w="15" w:type="dxa"/>
              <w:left w:w="300" w:type="dxa"/>
              <w:bottom w:w="15" w:type="dxa"/>
              <w:right w:w="15" w:type="dxa"/>
            </w:tcMar>
            <w:vAlign w:val="center"/>
            <w:hideMark/>
          </w:tcPr>
          <w:p w14:paraId="7A84784A" w14:textId="77777777" w:rsidR="00265650" w:rsidRPr="00265650" w:rsidRDefault="00265650" w:rsidP="00265650">
            <w:pPr>
              <w:widowControl/>
              <w:jc w:val="left"/>
              <w:rPr>
                <w:rFonts w:ascii="宋体" w:eastAsia="宋体" w:hAnsi="宋体" w:cs="宋体"/>
                <w:b/>
                <w:bCs/>
                <w:kern w:val="0"/>
                <w:sz w:val="18"/>
                <w:szCs w:val="18"/>
              </w:rPr>
            </w:pPr>
            <w:r w:rsidRPr="00265650">
              <w:rPr>
                <w:rFonts w:ascii="宋体" w:eastAsia="宋体" w:hAnsi="宋体" w:cs="宋体"/>
                <w:b/>
                <w:bCs/>
                <w:kern w:val="0"/>
                <w:sz w:val="18"/>
                <w:szCs w:val="18"/>
              </w:rPr>
              <w:t>发文字号：</w:t>
            </w:r>
          </w:p>
        </w:tc>
        <w:tc>
          <w:tcPr>
            <w:tcW w:w="2175" w:type="dxa"/>
            <w:gridSpan w:val="3"/>
            <w:tcBorders>
              <w:right w:val="nil"/>
            </w:tcBorders>
            <w:shd w:val="clear" w:color="auto" w:fill="F7F7F7"/>
            <w:vAlign w:val="center"/>
            <w:hideMark/>
          </w:tcPr>
          <w:p w14:paraId="4707A139" w14:textId="77777777" w:rsidR="00265650" w:rsidRPr="00265650" w:rsidRDefault="00265650" w:rsidP="00265650">
            <w:pPr>
              <w:widowControl/>
              <w:jc w:val="left"/>
              <w:rPr>
                <w:rFonts w:ascii="宋体" w:eastAsia="宋体" w:hAnsi="宋体" w:cs="宋体"/>
                <w:kern w:val="0"/>
                <w:sz w:val="18"/>
                <w:szCs w:val="18"/>
              </w:rPr>
            </w:pPr>
            <w:proofErr w:type="gramStart"/>
            <w:r w:rsidRPr="00265650">
              <w:rPr>
                <w:rFonts w:ascii="宋体" w:eastAsia="宋体" w:hAnsi="宋体" w:cs="宋体"/>
                <w:kern w:val="0"/>
                <w:sz w:val="18"/>
                <w:szCs w:val="18"/>
              </w:rPr>
              <w:t>陕政办</w:t>
            </w:r>
            <w:proofErr w:type="gramEnd"/>
            <w:r w:rsidRPr="00265650">
              <w:rPr>
                <w:rFonts w:ascii="宋体" w:eastAsia="宋体" w:hAnsi="宋体" w:cs="宋体"/>
                <w:kern w:val="0"/>
                <w:sz w:val="18"/>
                <w:szCs w:val="18"/>
              </w:rPr>
              <w:t>发〔2018〕37号</w:t>
            </w:r>
          </w:p>
        </w:tc>
      </w:tr>
      <w:tr w:rsidR="00265650" w:rsidRPr="00265650" w14:paraId="0784248D" w14:textId="77777777" w:rsidTr="00265650">
        <w:trPr>
          <w:trHeight w:val="330"/>
        </w:trPr>
        <w:tc>
          <w:tcPr>
            <w:tcW w:w="0" w:type="auto"/>
            <w:shd w:val="clear" w:color="auto" w:fill="F7F7F7"/>
            <w:tcMar>
              <w:top w:w="15" w:type="dxa"/>
              <w:left w:w="300" w:type="dxa"/>
              <w:bottom w:w="15" w:type="dxa"/>
              <w:right w:w="15" w:type="dxa"/>
            </w:tcMar>
            <w:vAlign w:val="center"/>
            <w:hideMark/>
          </w:tcPr>
          <w:p w14:paraId="25AD7D1E" w14:textId="77777777" w:rsidR="00265650" w:rsidRPr="00265650" w:rsidRDefault="00265650" w:rsidP="00265650">
            <w:pPr>
              <w:widowControl/>
              <w:jc w:val="left"/>
              <w:rPr>
                <w:rFonts w:ascii="宋体" w:eastAsia="宋体" w:hAnsi="宋体" w:cs="宋体"/>
                <w:b/>
                <w:bCs/>
                <w:kern w:val="0"/>
                <w:sz w:val="18"/>
                <w:szCs w:val="18"/>
              </w:rPr>
            </w:pPr>
            <w:r w:rsidRPr="00265650">
              <w:rPr>
                <w:rFonts w:ascii="宋体" w:eastAsia="宋体" w:hAnsi="宋体" w:cs="宋体"/>
                <w:b/>
                <w:bCs/>
                <w:kern w:val="0"/>
                <w:sz w:val="18"/>
                <w:szCs w:val="18"/>
              </w:rPr>
              <w:t>发布机构：</w:t>
            </w:r>
          </w:p>
        </w:tc>
        <w:tc>
          <w:tcPr>
            <w:tcW w:w="0" w:type="auto"/>
            <w:shd w:val="clear" w:color="auto" w:fill="F7F7F7"/>
            <w:vAlign w:val="center"/>
            <w:hideMark/>
          </w:tcPr>
          <w:p w14:paraId="0BA5B54E" w14:textId="77777777" w:rsidR="00265650" w:rsidRPr="00265650" w:rsidRDefault="00265650" w:rsidP="00265650">
            <w:pPr>
              <w:widowControl/>
              <w:jc w:val="left"/>
              <w:rPr>
                <w:rFonts w:ascii="宋体" w:eastAsia="宋体" w:hAnsi="宋体" w:cs="宋体"/>
                <w:kern w:val="0"/>
                <w:sz w:val="18"/>
                <w:szCs w:val="18"/>
              </w:rPr>
            </w:pPr>
            <w:r w:rsidRPr="00265650">
              <w:rPr>
                <w:rFonts w:ascii="宋体" w:eastAsia="宋体" w:hAnsi="宋体" w:cs="宋体"/>
                <w:kern w:val="0"/>
                <w:sz w:val="18"/>
                <w:szCs w:val="18"/>
              </w:rPr>
              <w:t>省政府办公厅</w:t>
            </w:r>
          </w:p>
        </w:tc>
        <w:tc>
          <w:tcPr>
            <w:tcW w:w="0" w:type="auto"/>
            <w:shd w:val="clear" w:color="auto" w:fill="F7F7F7"/>
            <w:tcMar>
              <w:top w:w="15" w:type="dxa"/>
              <w:left w:w="300" w:type="dxa"/>
              <w:bottom w:w="15" w:type="dxa"/>
              <w:right w:w="15" w:type="dxa"/>
            </w:tcMar>
            <w:vAlign w:val="center"/>
            <w:hideMark/>
          </w:tcPr>
          <w:p w14:paraId="6F2916CC" w14:textId="77777777" w:rsidR="00265650" w:rsidRPr="00265650" w:rsidRDefault="00265650" w:rsidP="00265650">
            <w:pPr>
              <w:widowControl/>
              <w:jc w:val="left"/>
              <w:rPr>
                <w:rFonts w:ascii="宋体" w:eastAsia="宋体" w:hAnsi="宋体" w:cs="宋体"/>
                <w:b/>
                <w:bCs/>
                <w:kern w:val="0"/>
                <w:sz w:val="18"/>
                <w:szCs w:val="18"/>
              </w:rPr>
            </w:pPr>
            <w:r w:rsidRPr="00265650">
              <w:rPr>
                <w:rFonts w:ascii="宋体" w:eastAsia="宋体" w:hAnsi="宋体" w:cs="宋体"/>
                <w:b/>
                <w:bCs/>
                <w:kern w:val="0"/>
                <w:sz w:val="18"/>
                <w:szCs w:val="18"/>
              </w:rPr>
              <w:t>公文时效：</w:t>
            </w:r>
          </w:p>
        </w:tc>
        <w:tc>
          <w:tcPr>
            <w:tcW w:w="0" w:type="auto"/>
            <w:tcBorders>
              <w:right w:val="nil"/>
            </w:tcBorders>
            <w:shd w:val="clear" w:color="auto" w:fill="F7F7F7"/>
            <w:vAlign w:val="center"/>
            <w:hideMark/>
          </w:tcPr>
          <w:p w14:paraId="165C896C" w14:textId="77777777" w:rsidR="00265650" w:rsidRPr="00265650" w:rsidRDefault="00265650" w:rsidP="00265650">
            <w:pPr>
              <w:widowControl/>
              <w:jc w:val="left"/>
              <w:rPr>
                <w:rFonts w:ascii="宋体" w:eastAsia="宋体" w:hAnsi="宋体" w:cs="宋体"/>
                <w:kern w:val="0"/>
                <w:sz w:val="18"/>
                <w:szCs w:val="18"/>
              </w:rPr>
            </w:pPr>
            <w:r w:rsidRPr="00265650">
              <w:rPr>
                <w:rFonts w:ascii="宋体" w:eastAsia="宋体" w:hAnsi="宋体" w:cs="宋体"/>
                <w:kern w:val="0"/>
                <w:sz w:val="18"/>
                <w:szCs w:val="18"/>
              </w:rPr>
              <w:t>有效</w:t>
            </w:r>
          </w:p>
        </w:tc>
        <w:tc>
          <w:tcPr>
            <w:tcW w:w="0" w:type="auto"/>
            <w:shd w:val="clear" w:color="auto" w:fill="F7F7F7"/>
            <w:vAlign w:val="center"/>
            <w:hideMark/>
          </w:tcPr>
          <w:p w14:paraId="7710AAB4" w14:textId="77777777" w:rsidR="00265650" w:rsidRPr="00265650" w:rsidRDefault="00265650" w:rsidP="00265650">
            <w:pPr>
              <w:widowControl/>
              <w:jc w:val="left"/>
              <w:rPr>
                <w:rFonts w:ascii="Times New Roman" w:eastAsia="Times New Roman" w:hAnsi="Times New Roman" w:cs="Times New Roman"/>
                <w:kern w:val="0"/>
                <w:sz w:val="20"/>
                <w:szCs w:val="20"/>
              </w:rPr>
            </w:pPr>
          </w:p>
        </w:tc>
        <w:tc>
          <w:tcPr>
            <w:tcW w:w="0" w:type="auto"/>
            <w:shd w:val="clear" w:color="auto" w:fill="F7F7F7"/>
            <w:vAlign w:val="center"/>
            <w:hideMark/>
          </w:tcPr>
          <w:p w14:paraId="5571BD9D" w14:textId="77777777" w:rsidR="00265650" w:rsidRPr="00265650" w:rsidRDefault="00265650" w:rsidP="00265650">
            <w:pPr>
              <w:widowControl/>
              <w:jc w:val="left"/>
              <w:rPr>
                <w:rFonts w:ascii="Times New Roman" w:eastAsia="Times New Roman" w:hAnsi="Times New Roman" w:cs="Times New Roman"/>
                <w:kern w:val="0"/>
                <w:sz w:val="20"/>
                <w:szCs w:val="20"/>
              </w:rPr>
            </w:pPr>
          </w:p>
        </w:tc>
      </w:tr>
      <w:tr w:rsidR="00265650" w:rsidRPr="00265650" w14:paraId="5D37F53C" w14:textId="77777777" w:rsidTr="00265650">
        <w:trPr>
          <w:trHeight w:val="330"/>
        </w:trPr>
        <w:tc>
          <w:tcPr>
            <w:tcW w:w="0" w:type="auto"/>
            <w:shd w:val="clear" w:color="auto" w:fill="F7F7F7"/>
            <w:tcMar>
              <w:top w:w="15" w:type="dxa"/>
              <w:left w:w="300" w:type="dxa"/>
              <w:bottom w:w="15" w:type="dxa"/>
              <w:right w:w="15" w:type="dxa"/>
            </w:tcMar>
            <w:vAlign w:val="center"/>
            <w:hideMark/>
          </w:tcPr>
          <w:p w14:paraId="737AFA01" w14:textId="77777777" w:rsidR="00265650" w:rsidRPr="00265650" w:rsidRDefault="00265650" w:rsidP="00265650">
            <w:pPr>
              <w:widowControl/>
              <w:jc w:val="left"/>
              <w:rPr>
                <w:rFonts w:ascii="宋体" w:eastAsia="宋体" w:hAnsi="宋体" w:cs="宋体"/>
                <w:b/>
                <w:bCs/>
                <w:kern w:val="0"/>
                <w:sz w:val="18"/>
                <w:szCs w:val="18"/>
              </w:rPr>
            </w:pPr>
            <w:r w:rsidRPr="00265650">
              <w:rPr>
                <w:rFonts w:ascii="宋体" w:eastAsia="宋体" w:hAnsi="宋体" w:cs="宋体"/>
                <w:b/>
                <w:bCs/>
                <w:kern w:val="0"/>
                <w:sz w:val="18"/>
                <w:szCs w:val="18"/>
              </w:rPr>
              <w:t>名　　称：</w:t>
            </w:r>
          </w:p>
        </w:tc>
        <w:tc>
          <w:tcPr>
            <w:tcW w:w="0" w:type="auto"/>
            <w:gridSpan w:val="5"/>
            <w:tcBorders>
              <w:right w:val="nil"/>
            </w:tcBorders>
            <w:shd w:val="clear" w:color="auto" w:fill="F7F7F7"/>
            <w:vAlign w:val="center"/>
            <w:hideMark/>
          </w:tcPr>
          <w:p w14:paraId="4FD5EED3" w14:textId="77777777" w:rsidR="00265650" w:rsidRPr="00265650" w:rsidRDefault="00265650" w:rsidP="00265650">
            <w:pPr>
              <w:widowControl/>
              <w:jc w:val="left"/>
              <w:rPr>
                <w:rFonts w:ascii="宋体" w:eastAsia="宋体" w:hAnsi="宋体" w:cs="宋体"/>
                <w:kern w:val="0"/>
                <w:sz w:val="18"/>
                <w:szCs w:val="18"/>
              </w:rPr>
            </w:pPr>
            <w:r w:rsidRPr="00265650">
              <w:rPr>
                <w:rFonts w:ascii="宋体" w:eastAsia="宋体" w:hAnsi="宋体" w:cs="宋体"/>
                <w:kern w:val="0"/>
                <w:sz w:val="18"/>
                <w:szCs w:val="18"/>
              </w:rPr>
              <w:t>陕西省人民政府办公厅关于印发改革完善仿制药供应保障及使用政策工作方案的通知</w:t>
            </w:r>
          </w:p>
        </w:tc>
      </w:tr>
      <w:tr w:rsidR="00265650" w:rsidRPr="00265650" w14:paraId="078454FE" w14:textId="77777777" w:rsidTr="00265650">
        <w:trPr>
          <w:trHeight w:val="330"/>
        </w:trPr>
        <w:tc>
          <w:tcPr>
            <w:tcW w:w="0" w:type="auto"/>
            <w:shd w:val="clear" w:color="auto" w:fill="F7F7F7"/>
            <w:tcMar>
              <w:top w:w="15" w:type="dxa"/>
              <w:left w:w="300" w:type="dxa"/>
              <w:bottom w:w="15" w:type="dxa"/>
              <w:right w:w="15" w:type="dxa"/>
            </w:tcMar>
            <w:vAlign w:val="center"/>
            <w:hideMark/>
          </w:tcPr>
          <w:p w14:paraId="46C7DDCE" w14:textId="77777777" w:rsidR="00265650" w:rsidRPr="00265650" w:rsidRDefault="00265650" w:rsidP="00265650">
            <w:pPr>
              <w:widowControl/>
              <w:jc w:val="left"/>
              <w:rPr>
                <w:rFonts w:ascii="宋体" w:eastAsia="宋体" w:hAnsi="宋体" w:cs="宋体"/>
                <w:b/>
                <w:bCs/>
                <w:kern w:val="0"/>
                <w:sz w:val="18"/>
                <w:szCs w:val="18"/>
              </w:rPr>
            </w:pPr>
            <w:r w:rsidRPr="00265650">
              <w:rPr>
                <w:rFonts w:ascii="宋体" w:eastAsia="宋体" w:hAnsi="宋体" w:cs="宋体"/>
                <w:b/>
                <w:bCs/>
                <w:kern w:val="0"/>
                <w:sz w:val="18"/>
                <w:szCs w:val="18"/>
              </w:rPr>
              <w:t>主题分类：</w:t>
            </w:r>
          </w:p>
        </w:tc>
        <w:tc>
          <w:tcPr>
            <w:tcW w:w="0" w:type="auto"/>
            <w:shd w:val="clear" w:color="auto" w:fill="F7F7F7"/>
            <w:vAlign w:val="center"/>
            <w:hideMark/>
          </w:tcPr>
          <w:p w14:paraId="7C950DF6" w14:textId="77777777" w:rsidR="00265650" w:rsidRPr="00265650" w:rsidRDefault="00265650" w:rsidP="00265650">
            <w:pPr>
              <w:widowControl/>
              <w:jc w:val="left"/>
              <w:rPr>
                <w:rFonts w:ascii="宋体" w:eastAsia="宋体" w:hAnsi="宋体" w:cs="宋体"/>
                <w:kern w:val="0"/>
                <w:sz w:val="18"/>
                <w:szCs w:val="18"/>
              </w:rPr>
            </w:pPr>
            <w:r w:rsidRPr="00265650">
              <w:rPr>
                <w:rFonts w:ascii="宋体" w:eastAsia="宋体" w:hAnsi="宋体" w:cs="宋体"/>
                <w:kern w:val="0"/>
                <w:sz w:val="18"/>
                <w:szCs w:val="18"/>
              </w:rPr>
              <w:t>其他</w:t>
            </w:r>
          </w:p>
        </w:tc>
        <w:tc>
          <w:tcPr>
            <w:tcW w:w="0" w:type="auto"/>
            <w:shd w:val="clear" w:color="auto" w:fill="F7F7F7"/>
            <w:tcMar>
              <w:top w:w="15" w:type="dxa"/>
              <w:left w:w="300" w:type="dxa"/>
              <w:bottom w:w="15" w:type="dxa"/>
              <w:right w:w="15" w:type="dxa"/>
            </w:tcMar>
            <w:vAlign w:val="center"/>
            <w:hideMark/>
          </w:tcPr>
          <w:p w14:paraId="7D45864F" w14:textId="77777777" w:rsidR="00265650" w:rsidRPr="00265650" w:rsidRDefault="00265650" w:rsidP="00265650">
            <w:pPr>
              <w:widowControl/>
              <w:jc w:val="left"/>
              <w:rPr>
                <w:rFonts w:ascii="宋体" w:eastAsia="宋体" w:hAnsi="宋体" w:cs="宋体"/>
                <w:b/>
                <w:bCs/>
                <w:kern w:val="0"/>
                <w:sz w:val="18"/>
                <w:szCs w:val="18"/>
              </w:rPr>
            </w:pPr>
            <w:r w:rsidRPr="00265650">
              <w:rPr>
                <w:rFonts w:ascii="宋体" w:eastAsia="宋体" w:hAnsi="宋体" w:cs="宋体"/>
                <w:b/>
                <w:bCs/>
                <w:kern w:val="0"/>
                <w:sz w:val="18"/>
                <w:szCs w:val="18"/>
              </w:rPr>
              <w:t>发布日期：</w:t>
            </w:r>
          </w:p>
        </w:tc>
        <w:tc>
          <w:tcPr>
            <w:tcW w:w="0" w:type="auto"/>
            <w:tcBorders>
              <w:right w:val="nil"/>
            </w:tcBorders>
            <w:shd w:val="clear" w:color="auto" w:fill="F7F7F7"/>
            <w:vAlign w:val="center"/>
            <w:hideMark/>
          </w:tcPr>
          <w:p w14:paraId="6F3E6CEC" w14:textId="77777777" w:rsidR="00265650" w:rsidRPr="00265650" w:rsidRDefault="00265650" w:rsidP="00265650">
            <w:pPr>
              <w:widowControl/>
              <w:jc w:val="left"/>
              <w:rPr>
                <w:rFonts w:ascii="宋体" w:eastAsia="宋体" w:hAnsi="宋体" w:cs="宋体"/>
                <w:kern w:val="0"/>
                <w:sz w:val="18"/>
                <w:szCs w:val="18"/>
              </w:rPr>
            </w:pPr>
            <w:r w:rsidRPr="00265650">
              <w:rPr>
                <w:rFonts w:ascii="宋体" w:eastAsia="宋体" w:hAnsi="宋体" w:cs="宋体"/>
                <w:kern w:val="0"/>
                <w:sz w:val="18"/>
                <w:szCs w:val="18"/>
              </w:rPr>
              <w:t>2018-08-01 09:32:16</w:t>
            </w:r>
          </w:p>
        </w:tc>
        <w:tc>
          <w:tcPr>
            <w:tcW w:w="0" w:type="auto"/>
            <w:shd w:val="clear" w:color="auto" w:fill="F7F7F7"/>
            <w:vAlign w:val="center"/>
            <w:hideMark/>
          </w:tcPr>
          <w:p w14:paraId="48E58D0C" w14:textId="77777777" w:rsidR="00265650" w:rsidRPr="00265650" w:rsidRDefault="00265650" w:rsidP="00265650">
            <w:pPr>
              <w:widowControl/>
              <w:jc w:val="left"/>
              <w:rPr>
                <w:rFonts w:ascii="Times New Roman" w:eastAsia="Times New Roman" w:hAnsi="Times New Roman" w:cs="Times New Roman"/>
                <w:kern w:val="0"/>
                <w:sz w:val="20"/>
                <w:szCs w:val="20"/>
              </w:rPr>
            </w:pPr>
          </w:p>
        </w:tc>
        <w:tc>
          <w:tcPr>
            <w:tcW w:w="0" w:type="auto"/>
            <w:shd w:val="clear" w:color="auto" w:fill="F7F7F7"/>
            <w:vAlign w:val="center"/>
            <w:hideMark/>
          </w:tcPr>
          <w:p w14:paraId="2960F42E" w14:textId="77777777" w:rsidR="00265650" w:rsidRPr="00265650" w:rsidRDefault="00265650" w:rsidP="00265650">
            <w:pPr>
              <w:widowControl/>
              <w:jc w:val="left"/>
              <w:rPr>
                <w:rFonts w:ascii="Times New Roman" w:eastAsia="Times New Roman" w:hAnsi="Times New Roman" w:cs="Times New Roman"/>
                <w:kern w:val="0"/>
                <w:sz w:val="20"/>
                <w:szCs w:val="20"/>
              </w:rPr>
            </w:pPr>
          </w:p>
        </w:tc>
      </w:tr>
    </w:tbl>
    <w:p w14:paraId="7ABD444D" w14:textId="77777777" w:rsidR="00265650" w:rsidRPr="00265650" w:rsidRDefault="00265650" w:rsidP="00265650">
      <w:pPr>
        <w:widowControl/>
        <w:spacing w:before="225" w:line="450" w:lineRule="atLeast"/>
        <w:jc w:val="left"/>
        <w:rPr>
          <w:rFonts w:ascii="宋体" w:eastAsia="宋体" w:hAnsi="宋体" w:cs="宋体"/>
          <w:color w:val="000000"/>
          <w:kern w:val="0"/>
          <w:sz w:val="24"/>
          <w:szCs w:val="24"/>
        </w:rPr>
      </w:pPr>
      <w:r w:rsidRPr="00265650">
        <w:rPr>
          <w:rFonts w:ascii="宋体" w:eastAsia="宋体" w:hAnsi="宋体" w:cs="宋体" w:hint="eastAsia"/>
          <w:color w:val="000000"/>
          <w:kern w:val="0"/>
          <w:sz w:val="24"/>
          <w:szCs w:val="24"/>
        </w:rPr>
        <w:t>各设区市人民政府，省人民政府各工作部门、各直属机构：</w:t>
      </w:r>
    </w:p>
    <w:p w14:paraId="49F2285F"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《陕西省改革完善仿制药供应保障及使用政策工作方案》已经省政府同意，现印发给你们，请认真组织实施。</w:t>
      </w:r>
    </w:p>
    <w:p w14:paraId="6A039BA7" w14:textId="77777777" w:rsidR="00265650" w:rsidRPr="00265650" w:rsidRDefault="00265650" w:rsidP="00265650">
      <w:pPr>
        <w:widowControl/>
        <w:spacing w:before="225" w:line="0" w:lineRule="auto"/>
        <w:ind w:firstLine="480"/>
        <w:jc w:val="righ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陕西省人民政府办公厅</w:t>
      </w:r>
    </w:p>
    <w:p w14:paraId="27773906" w14:textId="77777777" w:rsidR="00265650" w:rsidRPr="00265650" w:rsidRDefault="00265650" w:rsidP="00265650">
      <w:pPr>
        <w:widowControl/>
        <w:spacing w:before="225" w:line="0" w:lineRule="auto"/>
        <w:ind w:firstLine="480"/>
        <w:jc w:val="righ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2018年7月18日</w:t>
      </w:r>
    </w:p>
    <w:p w14:paraId="23D36F7A" w14:textId="77777777" w:rsidR="00265650" w:rsidRPr="00265650" w:rsidRDefault="00265650" w:rsidP="00265650">
      <w:pPr>
        <w:widowControl/>
        <w:spacing w:before="225" w:line="450" w:lineRule="atLeast"/>
        <w:ind w:firstLine="480"/>
        <w:jc w:val="center"/>
        <w:rPr>
          <w:rFonts w:ascii="宋体" w:eastAsia="宋体" w:hAnsi="宋体" w:cs="宋体" w:hint="eastAsia"/>
          <w:color w:val="000000"/>
          <w:kern w:val="0"/>
          <w:sz w:val="24"/>
          <w:szCs w:val="24"/>
        </w:rPr>
      </w:pPr>
      <w:r w:rsidRPr="00265650">
        <w:rPr>
          <w:rFonts w:ascii="宋体" w:eastAsia="宋体" w:hAnsi="宋体" w:cs="宋体" w:hint="eastAsia"/>
          <w:b/>
          <w:bCs/>
          <w:color w:val="000000"/>
          <w:kern w:val="0"/>
          <w:sz w:val="24"/>
          <w:szCs w:val="24"/>
        </w:rPr>
        <w:t>陕西省改革完善仿制药供应保障及使用政策工作方案</w:t>
      </w:r>
    </w:p>
    <w:p w14:paraId="01685C10"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为贯彻落实《国务院办公厅关于改革完善仿制药供应保障及使用政策的意见》（国办发〔2018〕20号）精神，提升仿制药质量疗效和供应保障能力，更好地满足人民群众临床用药和公共卫生安全需求，结合我省实际，制定本方案。</w:t>
      </w:r>
    </w:p>
    <w:p w14:paraId="1BA082E5"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b/>
          <w:bCs/>
          <w:color w:val="000000"/>
          <w:kern w:val="0"/>
          <w:sz w:val="24"/>
          <w:szCs w:val="24"/>
        </w:rPr>
        <w:t>一、主要目标</w:t>
      </w:r>
    </w:p>
    <w:p w14:paraId="77CA3DB1"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深入贯彻落实党中央、国务院关于推进健康中国建设、深化医药卫生体制改革的决策部署，通过改革完善仿制药供应保障及使用政策，加快医药产业供给侧结构性改革，提升我省制药行业整体水平，推动医药产业升级和结构调整；促进创新药研发和仿制药技术攻关，提升仿制药质量疗效，提高药品供应保障能力，满足人民群众用药需求，降低医疗成本和群众药品费用负担，不断增强群众获得感，加快推进健康陕西建设。</w:t>
      </w:r>
    </w:p>
    <w:p w14:paraId="24ADA4FA"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b/>
          <w:bCs/>
          <w:color w:val="000000"/>
          <w:kern w:val="0"/>
          <w:sz w:val="24"/>
          <w:szCs w:val="24"/>
        </w:rPr>
        <w:t>二、重点任务</w:t>
      </w:r>
    </w:p>
    <w:p w14:paraId="349EDBD2"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lastRenderedPageBreak/>
        <w:t>（一）鼓励企业积极申请研发。按照国家公布的鼓励仿制药品目录和药品供应保障信息，做好政策解读和信息公告，引导企业注册申请和研发。鼓励企业仿制临床必需、疗效确切、供应短缺的药品，仿制重大传染病防治和罕见病治疗所需药品，处置突发公共卫生事件所需药品，儿童使用药品以及专利到期前一年尚没有提出注册申请的药品。对申请仿制</w:t>
      </w:r>
      <w:proofErr w:type="gramStart"/>
      <w:r w:rsidRPr="00265650">
        <w:rPr>
          <w:rFonts w:ascii="宋体" w:eastAsia="宋体" w:hAnsi="宋体" w:cs="宋体" w:hint="eastAsia"/>
          <w:color w:val="000000"/>
          <w:kern w:val="0"/>
          <w:sz w:val="24"/>
          <w:szCs w:val="24"/>
        </w:rPr>
        <w:t>药注册</w:t>
      </w:r>
      <w:proofErr w:type="gramEnd"/>
      <w:r w:rsidRPr="00265650">
        <w:rPr>
          <w:rFonts w:ascii="宋体" w:eastAsia="宋体" w:hAnsi="宋体" w:cs="宋体" w:hint="eastAsia"/>
          <w:color w:val="000000"/>
          <w:kern w:val="0"/>
          <w:sz w:val="24"/>
          <w:szCs w:val="24"/>
        </w:rPr>
        <w:t>的企业，按照药品生产许可审批程序，开设绿色通道，优先审核报送国家药监局审批，指导企业做好注册现场核查等相关工作。（省食品药品监管局、省卫生计生委负责）</w:t>
      </w:r>
    </w:p>
    <w:p w14:paraId="4D63C854"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（二）促进创新药研发和仿制药技术攻关。对研发出</w:t>
      </w:r>
      <w:proofErr w:type="gramStart"/>
      <w:r w:rsidRPr="00265650">
        <w:rPr>
          <w:rFonts w:ascii="宋体" w:eastAsia="宋体" w:hAnsi="宋体" w:cs="宋体" w:hint="eastAsia"/>
          <w:color w:val="000000"/>
          <w:kern w:val="0"/>
          <w:sz w:val="24"/>
          <w:szCs w:val="24"/>
        </w:rPr>
        <w:t>防治重</w:t>
      </w:r>
      <w:proofErr w:type="gramEnd"/>
      <w:r w:rsidRPr="00265650">
        <w:rPr>
          <w:rFonts w:ascii="宋体" w:eastAsia="宋体" w:hAnsi="宋体" w:cs="宋体" w:hint="eastAsia"/>
          <w:color w:val="000000"/>
          <w:kern w:val="0"/>
          <w:sz w:val="24"/>
          <w:szCs w:val="24"/>
        </w:rPr>
        <w:t>特大传染病疫情或重特大疾病新药，并在我省实现产业化生产的企业或个人，以项目形式进行奖补，</w:t>
      </w:r>
      <w:proofErr w:type="gramStart"/>
      <w:r w:rsidRPr="00265650">
        <w:rPr>
          <w:rFonts w:ascii="宋体" w:eastAsia="宋体" w:hAnsi="宋体" w:cs="宋体" w:hint="eastAsia"/>
          <w:color w:val="000000"/>
          <w:kern w:val="0"/>
          <w:sz w:val="24"/>
          <w:szCs w:val="24"/>
        </w:rPr>
        <w:t>奖补金额</w:t>
      </w:r>
      <w:proofErr w:type="gramEnd"/>
      <w:r w:rsidRPr="00265650">
        <w:rPr>
          <w:rFonts w:ascii="宋体" w:eastAsia="宋体" w:hAnsi="宋体" w:cs="宋体" w:hint="eastAsia"/>
          <w:color w:val="000000"/>
          <w:kern w:val="0"/>
          <w:sz w:val="24"/>
          <w:szCs w:val="24"/>
        </w:rPr>
        <w:t>不少于200万元。对在我省生产国家鼓励仿制药品目录内药品的企业，可不</w:t>
      </w:r>
      <w:proofErr w:type="gramStart"/>
      <w:r w:rsidRPr="00265650">
        <w:rPr>
          <w:rFonts w:ascii="宋体" w:eastAsia="宋体" w:hAnsi="宋体" w:cs="宋体" w:hint="eastAsia"/>
          <w:color w:val="000000"/>
          <w:kern w:val="0"/>
          <w:sz w:val="24"/>
          <w:szCs w:val="24"/>
        </w:rPr>
        <w:t>受销售</w:t>
      </w:r>
      <w:proofErr w:type="gramEnd"/>
      <w:r w:rsidRPr="00265650">
        <w:rPr>
          <w:rFonts w:ascii="宋体" w:eastAsia="宋体" w:hAnsi="宋体" w:cs="宋体" w:hint="eastAsia"/>
          <w:color w:val="000000"/>
          <w:kern w:val="0"/>
          <w:sz w:val="24"/>
          <w:szCs w:val="24"/>
        </w:rPr>
        <w:t>增幅限制，享受当年同等规模企业超销售奖励政策。发挥企业主体作用和科研机构、高等院校技术优势，建立仿制药技术攻关联盟，加强药用原辅料、包装材料和制剂研发联动，促进药品研发链和产业链有机衔接。积极引进国际先进技术，进行消化吸收再提高，突破提纯、质量控制等关键技术。（省工业和信息化厅、省科技厅、省食品药品监管局负责）</w:t>
      </w:r>
    </w:p>
    <w:p w14:paraId="08090B79"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三）提升仿制药质量和制造水平。按照国家和我省关于开展仿制药质量和疗效一致性评价工作的政策措施，加快推进仿制药一致性评价工作。大力提升制药装备和智能制造水平，积极推动企业运用新材料、新工艺、新技术，出台支持仿制</w:t>
      </w:r>
      <w:proofErr w:type="gramStart"/>
      <w:r w:rsidRPr="00265650">
        <w:rPr>
          <w:rFonts w:ascii="宋体" w:eastAsia="宋体" w:hAnsi="宋体" w:cs="宋体" w:hint="eastAsia"/>
          <w:color w:val="000000"/>
          <w:kern w:val="0"/>
          <w:sz w:val="24"/>
          <w:szCs w:val="24"/>
        </w:rPr>
        <w:t>药产业</w:t>
      </w:r>
      <w:proofErr w:type="gramEnd"/>
      <w:r w:rsidRPr="00265650">
        <w:rPr>
          <w:rFonts w:ascii="宋体" w:eastAsia="宋体" w:hAnsi="宋体" w:cs="宋体" w:hint="eastAsia"/>
          <w:color w:val="000000"/>
          <w:kern w:val="0"/>
          <w:sz w:val="24"/>
          <w:szCs w:val="24"/>
        </w:rPr>
        <w:t>转型升级政策措施。加强对药用原辅料、包装材料及药物研发、生产、流通等过程的监督检查，加强不良反应监测和质量抽查，严肃查处数据造假、偷工减料、掺杂使假等违法违规行为，强化责任追究，检查和处罚结果及时向社会公开。定期组织开展省内药品生产企业药品质量评选。（省食品药品监管局、省工业和信息化厅、省发展改革委负责）</w:t>
      </w:r>
    </w:p>
    <w:p w14:paraId="5E09C2F9"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四）完善仿制药采购政策。对通过质量和疗效一致性评价的仿制药品种和符合相关规定视同通过一致性评价的药品，在集中采购时执行与原研药同等政策。对我省未采购但通过一致性评价的仿制药品种，企业可提出申请，允许直接挂网采购。对新批准上市的仿制药，对应的通用名药品已在药品采购目录中的，及时启动采购程序；对应的通用名药品未在药品采购目录中的，及时将其纳入药品采购目录。对国家实施专利强制许可的药品，无条件纳入药品采购</w:t>
      </w:r>
      <w:r w:rsidRPr="00265650">
        <w:rPr>
          <w:rFonts w:ascii="宋体" w:eastAsia="宋体" w:hAnsi="宋体" w:cs="宋体" w:hint="eastAsia"/>
          <w:color w:val="000000"/>
          <w:kern w:val="0"/>
          <w:sz w:val="24"/>
          <w:szCs w:val="24"/>
        </w:rPr>
        <w:lastRenderedPageBreak/>
        <w:t>目录，直接挂网采购。对按规定向艾滋病、结核病患者提供的药品，优先采购使用仿制药。（省卫生计生委、省食品药品监管局负责）</w:t>
      </w:r>
    </w:p>
    <w:p w14:paraId="3789B621"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五）促进仿制药优先配备使用。将通过质量和疗效一致性评价的仿制药纳入与原研药可相互替代药品目录，并及时通过药品采购平台向社会公布相关信息，便于医疗机构和患者选择使用。组织开展临床用药综合评价，制定鼓励公立医疗机构使用仿制药替代原研药的政策和激励措施，加大对临床用药的监管力度。严格按药品通用名开具处方，除特殊情形外，处方上不得出现商品名。强化药师在处方审核和药品调配中的指导作用。落实处方点评制度，加强医疗机构药品合理使用情况考核，对不合理用药的处方医生进行公示，并进行诫勉约谈。（省卫生计生委、省食品药品监管局负责）</w:t>
      </w:r>
    </w:p>
    <w:p w14:paraId="391CEA81"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（六）发挥基本医疗保险激励作用。按照国家统一部署和要求，加快制定</w:t>
      </w:r>
      <w:proofErr w:type="gramStart"/>
      <w:r w:rsidRPr="00265650">
        <w:rPr>
          <w:rFonts w:ascii="宋体" w:eastAsia="宋体" w:hAnsi="宋体" w:cs="宋体" w:hint="eastAsia"/>
          <w:color w:val="000000"/>
          <w:kern w:val="0"/>
          <w:sz w:val="24"/>
          <w:szCs w:val="24"/>
        </w:rPr>
        <w:t>医</w:t>
      </w:r>
      <w:proofErr w:type="gramEnd"/>
      <w:r w:rsidRPr="00265650">
        <w:rPr>
          <w:rFonts w:ascii="宋体" w:eastAsia="宋体" w:hAnsi="宋体" w:cs="宋体" w:hint="eastAsia"/>
          <w:color w:val="000000"/>
          <w:kern w:val="0"/>
          <w:sz w:val="24"/>
          <w:szCs w:val="24"/>
        </w:rPr>
        <w:t>保药品支付标准，对与原研药质量和疗效一致的仿制药，按原研</w:t>
      </w:r>
      <w:proofErr w:type="gramStart"/>
      <w:r w:rsidRPr="00265650">
        <w:rPr>
          <w:rFonts w:ascii="宋体" w:eastAsia="宋体" w:hAnsi="宋体" w:cs="宋体" w:hint="eastAsia"/>
          <w:color w:val="000000"/>
          <w:kern w:val="0"/>
          <w:sz w:val="24"/>
          <w:szCs w:val="24"/>
        </w:rPr>
        <w:t>药相同</w:t>
      </w:r>
      <w:proofErr w:type="gramEnd"/>
      <w:r w:rsidRPr="00265650">
        <w:rPr>
          <w:rFonts w:ascii="宋体" w:eastAsia="宋体" w:hAnsi="宋体" w:cs="宋体" w:hint="eastAsia"/>
          <w:color w:val="000000"/>
          <w:kern w:val="0"/>
          <w:sz w:val="24"/>
          <w:szCs w:val="24"/>
        </w:rPr>
        <w:t>标准支付。建立激励医疗机构带量议价、优先采购通过质量和疗效一致性评价的仿制药机制。完善基本医疗保险药品目录动态调整机制，及时将符合条件的药品纳入目录，满足临床用药需求。对基本医疗保险药品目录中的药品，不得按商品名或生产厂家进行限定。及时更新医保信息系统，确保批准上市的仿制药同等纳入</w:t>
      </w:r>
      <w:proofErr w:type="gramStart"/>
      <w:r w:rsidRPr="00265650">
        <w:rPr>
          <w:rFonts w:ascii="宋体" w:eastAsia="宋体" w:hAnsi="宋体" w:cs="宋体" w:hint="eastAsia"/>
          <w:color w:val="000000"/>
          <w:kern w:val="0"/>
          <w:sz w:val="24"/>
          <w:szCs w:val="24"/>
        </w:rPr>
        <w:t>医</w:t>
      </w:r>
      <w:proofErr w:type="gramEnd"/>
      <w:r w:rsidRPr="00265650">
        <w:rPr>
          <w:rFonts w:ascii="宋体" w:eastAsia="宋体" w:hAnsi="宋体" w:cs="宋体" w:hint="eastAsia"/>
          <w:color w:val="000000"/>
          <w:kern w:val="0"/>
          <w:sz w:val="24"/>
          <w:szCs w:val="24"/>
        </w:rPr>
        <w:t>保支付范围。探索建立</w:t>
      </w:r>
      <w:proofErr w:type="gramStart"/>
      <w:r w:rsidRPr="00265650">
        <w:rPr>
          <w:rFonts w:ascii="宋体" w:eastAsia="宋体" w:hAnsi="宋体" w:cs="宋体" w:hint="eastAsia"/>
          <w:color w:val="000000"/>
          <w:kern w:val="0"/>
          <w:sz w:val="24"/>
          <w:szCs w:val="24"/>
        </w:rPr>
        <w:t>医</w:t>
      </w:r>
      <w:proofErr w:type="gramEnd"/>
      <w:r w:rsidRPr="00265650">
        <w:rPr>
          <w:rFonts w:ascii="宋体" w:eastAsia="宋体" w:hAnsi="宋体" w:cs="宋体" w:hint="eastAsia"/>
          <w:color w:val="000000"/>
          <w:kern w:val="0"/>
          <w:sz w:val="24"/>
          <w:szCs w:val="24"/>
        </w:rPr>
        <w:t>保支付激励约束机制，引导医疗机构和医师推广使用仿制药。（省人力资源社会保障厅、省卫生计生委负责）</w:t>
      </w:r>
    </w:p>
    <w:p w14:paraId="255D1A87"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（七）实行税收优惠和价格监测。落实现行药品生产企业税收优惠政策，仿制</w:t>
      </w:r>
      <w:proofErr w:type="gramStart"/>
      <w:r w:rsidRPr="00265650">
        <w:rPr>
          <w:rFonts w:ascii="宋体" w:eastAsia="宋体" w:hAnsi="宋体" w:cs="宋体" w:hint="eastAsia"/>
          <w:color w:val="000000"/>
          <w:kern w:val="0"/>
          <w:sz w:val="24"/>
          <w:szCs w:val="24"/>
        </w:rPr>
        <w:t>药企业</w:t>
      </w:r>
      <w:proofErr w:type="gramEnd"/>
      <w:r w:rsidRPr="00265650">
        <w:rPr>
          <w:rFonts w:ascii="宋体" w:eastAsia="宋体" w:hAnsi="宋体" w:cs="宋体" w:hint="eastAsia"/>
          <w:color w:val="000000"/>
          <w:kern w:val="0"/>
          <w:sz w:val="24"/>
          <w:szCs w:val="24"/>
        </w:rPr>
        <w:t>为开发新技术、新产品、新工艺产生的研发费用，符合条件的按照有关规定在企业所得税税前加计扣除；经认定为高新技术企业的，可依法减按15%的税率征收企业所得税。持续推进药品价格改革，完善主要由市场形成药品价格的机制，做好与药品采购、</w:t>
      </w:r>
      <w:proofErr w:type="gramStart"/>
      <w:r w:rsidRPr="00265650">
        <w:rPr>
          <w:rFonts w:ascii="宋体" w:eastAsia="宋体" w:hAnsi="宋体" w:cs="宋体" w:hint="eastAsia"/>
          <w:color w:val="000000"/>
          <w:kern w:val="0"/>
          <w:sz w:val="24"/>
          <w:szCs w:val="24"/>
        </w:rPr>
        <w:t>医</w:t>
      </w:r>
      <w:proofErr w:type="gramEnd"/>
      <w:r w:rsidRPr="00265650">
        <w:rPr>
          <w:rFonts w:ascii="宋体" w:eastAsia="宋体" w:hAnsi="宋体" w:cs="宋体" w:hint="eastAsia"/>
          <w:color w:val="000000"/>
          <w:kern w:val="0"/>
          <w:sz w:val="24"/>
          <w:szCs w:val="24"/>
        </w:rPr>
        <w:t>保支付等改革政策的衔接，强化对医药费用和价格行为的综合监管。加强药品价格监测预警，依法严厉打击原料药价格垄断等违法违规行为。（省税务局、省科技厅、省物价局负责）</w:t>
      </w:r>
    </w:p>
    <w:p w14:paraId="7FCF6157"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（八）加强仿制药知识产权保护。开展药品领域知识产权分析评议工作，建立完善药品领域专利预警机制，降低仿制</w:t>
      </w:r>
      <w:proofErr w:type="gramStart"/>
      <w:r w:rsidRPr="00265650">
        <w:rPr>
          <w:rFonts w:ascii="宋体" w:eastAsia="宋体" w:hAnsi="宋体" w:cs="宋体" w:hint="eastAsia"/>
          <w:color w:val="000000"/>
          <w:kern w:val="0"/>
          <w:sz w:val="24"/>
          <w:szCs w:val="24"/>
        </w:rPr>
        <w:t>药企业</w:t>
      </w:r>
      <w:proofErr w:type="gramEnd"/>
      <w:r w:rsidRPr="00265650">
        <w:rPr>
          <w:rFonts w:ascii="宋体" w:eastAsia="宋体" w:hAnsi="宋体" w:cs="宋体" w:hint="eastAsia"/>
          <w:color w:val="000000"/>
          <w:kern w:val="0"/>
          <w:sz w:val="24"/>
          <w:szCs w:val="24"/>
        </w:rPr>
        <w:t>专利侵权风险。加强药品领域知识产权执法，严厉打击侵权、假冒专利违法行为，塑造良好的创新创业和营商环境。开展药品领域知识产权维权援助，指导企业妥善应对知识产权纠</w:t>
      </w:r>
      <w:r w:rsidRPr="00265650">
        <w:rPr>
          <w:rFonts w:ascii="宋体" w:eastAsia="宋体" w:hAnsi="宋体" w:cs="宋体" w:hint="eastAsia"/>
          <w:color w:val="000000"/>
          <w:kern w:val="0"/>
          <w:sz w:val="24"/>
          <w:szCs w:val="24"/>
        </w:rPr>
        <w:lastRenderedPageBreak/>
        <w:t>纷。加强政策宣传，鼓励指导具备实施强制许可条件的药品生产企业或者个人依法向国家知识产权局提出强制许可请求。（省知识产权局、省商务厅、省工商局负责）</w:t>
      </w:r>
    </w:p>
    <w:p w14:paraId="51D63E91"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九）加强国际交流合作。结合推进“一带一路”建设，加强与相关国际组织和国家交流，加快药品研发、注册、上市销售的国际化步伐。支持企业进行境外商标注册及药品国际注册和认证，进一步提升国际化经营能力。支持药品生产企业参加境外贸易对接活动，开展国际产能合作，建立跨境研发合作平台。积极引进先进管理经验和关键工艺技术，鼓励并支持境外企业在我省建立药品研发中心和生产基地。（省食品药品监管局、省科技厅、省商务厅、省工商局负责）</w:t>
      </w:r>
    </w:p>
    <w:p w14:paraId="232B132D"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b/>
          <w:bCs/>
          <w:color w:val="000000"/>
          <w:kern w:val="0"/>
          <w:sz w:val="24"/>
          <w:szCs w:val="24"/>
        </w:rPr>
        <w:t>三、组织保障</w:t>
      </w:r>
    </w:p>
    <w:p w14:paraId="468B584C"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一）加强组织领导。各地、各有关部门要充分认识改革完善仿制药供应保障及使用政策对于保障群众用药安全和维护社会和谐稳定的重要意义，将其作为深化医药卫生体制改革和建设健康陕西的重要任务，加强组织领导，细化工作方案，明确阶段任务，强化部门协同，确保各项措施落地见效。</w:t>
      </w:r>
    </w:p>
    <w:p w14:paraId="6AC7493A"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二）强化考核监督。省卫生计生委要会同省食品药品监管局加强政策培训，强化督导检查和第三方评估，及时总结推广好的经验和做法。各地要将改革完善仿制药供应保障及使用政策纳入深化医药卫生体制改革目标责任考核，及时研究解决工作中出现的问题和困难。</w:t>
      </w:r>
    </w:p>
    <w:p w14:paraId="7A512C4E" w14:textId="77777777" w:rsidR="00265650" w:rsidRPr="00265650" w:rsidRDefault="00265650" w:rsidP="00265650">
      <w:pPr>
        <w:widowControl/>
        <w:spacing w:before="225" w:line="450" w:lineRule="atLeast"/>
        <w:ind w:firstLine="480"/>
        <w:jc w:val="left"/>
        <w:rPr>
          <w:rFonts w:ascii="宋体" w:eastAsia="宋体" w:hAnsi="宋体" w:cs="宋体" w:hint="eastAsia"/>
          <w:color w:val="000000"/>
          <w:kern w:val="0"/>
          <w:sz w:val="24"/>
          <w:szCs w:val="24"/>
        </w:rPr>
      </w:pPr>
      <w:r w:rsidRPr="00265650">
        <w:rPr>
          <w:rFonts w:ascii="宋体" w:eastAsia="宋体" w:hAnsi="宋体" w:cs="宋体" w:hint="eastAsia"/>
          <w:color w:val="000000"/>
          <w:kern w:val="0"/>
          <w:sz w:val="24"/>
          <w:szCs w:val="24"/>
        </w:rPr>
        <w:t>（三）注重宣传引导。各地、各有关部门要做好政策宣传解读，激发仿制</w:t>
      </w:r>
      <w:proofErr w:type="gramStart"/>
      <w:r w:rsidRPr="00265650">
        <w:rPr>
          <w:rFonts w:ascii="宋体" w:eastAsia="宋体" w:hAnsi="宋体" w:cs="宋体" w:hint="eastAsia"/>
          <w:color w:val="000000"/>
          <w:kern w:val="0"/>
          <w:sz w:val="24"/>
          <w:szCs w:val="24"/>
        </w:rPr>
        <w:t>药企业</w:t>
      </w:r>
      <w:proofErr w:type="gramEnd"/>
      <w:r w:rsidRPr="00265650">
        <w:rPr>
          <w:rFonts w:ascii="宋体" w:eastAsia="宋体" w:hAnsi="宋体" w:cs="宋体" w:hint="eastAsia"/>
          <w:color w:val="000000"/>
          <w:kern w:val="0"/>
          <w:sz w:val="24"/>
          <w:szCs w:val="24"/>
        </w:rPr>
        <w:t>发展动力，提升群众对国产仿制药的信心。加强对医务人员的宣传教育，改变不合理用药习惯，提高合理用药水平，推动仿制药替代使用，及时回应社会关切，合理引导社会舆论和群众预期，积极营造良好的改革氛围。</w:t>
      </w:r>
    </w:p>
    <w:p w14:paraId="74AC7CC2" w14:textId="512A7257" w:rsidR="00265650" w:rsidRPr="00265650" w:rsidRDefault="00265650" w:rsidP="00265650">
      <w:pPr>
        <w:widowControl/>
        <w:jc w:val="left"/>
        <w:rPr>
          <w:rFonts w:ascii="微软雅黑" w:eastAsia="微软雅黑" w:hAnsi="微软雅黑" w:cs="宋体" w:hint="eastAsia"/>
          <w:color w:val="2B2B2B"/>
          <w:kern w:val="0"/>
          <w:szCs w:val="21"/>
        </w:rPr>
      </w:pPr>
    </w:p>
    <w:p w14:paraId="011515E1" w14:textId="77777777" w:rsidR="00064450" w:rsidRPr="00265650" w:rsidRDefault="00064450"/>
    <w:sectPr w:rsidR="00064450" w:rsidRPr="002656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1FF28" w14:textId="77777777" w:rsidR="00FD7031" w:rsidRDefault="00FD7031" w:rsidP="00265650">
      <w:r>
        <w:separator/>
      </w:r>
    </w:p>
  </w:endnote>
  <w:endnote w:type="continuationSeparator" w:id="0">
    <w:p w14:paraId="6A4F59A2" w14:textId="77777777" w:rsidR="00FD7031" w:rsidRDefault="00FD7031" w:rsidP="0026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11158" w14:textId="77777777" w:rsidR="00FD7031" w:rsidRDefault="00FD7031" w:rsidP="00265650">
      <w:r>
        <w:separator/>
      </w:r>
    </w:p>
  </w:footnote>
  <w:footnote w:type="continuationSeparator" w:id="0">
    <w:p w14:paraId="57CE7902" w14:textId="77777777" w:rsidR="00FD7031" w:rsidRDefault="00FD7031" w:rsidP="0026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5D"/>
    <w:rsid w:val="00064450"/>
    <w:rsid w:val="00265650"/>
    <w:rsid w:val="00F4725D"/>
    <w:rsid w:val="00FD7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41611"/>
  <w15:chartTrackingRefBased/>
  <w15:docId w15:val="{5A305821-01A9-4448-90F4-5645036D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6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650"/>
    <w:rPr>
      <w:sz w:val="18"/>
      <w:szCs w:val="18"/>
    </w:rPr>
  </w:style>
  <w:style w:type="paragraph" w:styleId="a5">
    <w:name w:val="footer"/>
    <w:basedOn w:val="a"/>
    <w:link w:val="a6"/>
    <w:uiPriority w:val="99"/>
    <w:unhideWhenUsed/>
    <w:rsid w:val="00265650"/>
    <w:pPr>
      <w:tabs>
        <w:tab w:val="center" w:pos="4153"/>
        <w:tab w:val="right" w:pos="8306"/>
      </w:tabs>
      <w:snapToGrid w:val="0"/>
      <w:jc w:val="left"/>
    </w:pPr>
    <w:rPr>
      <w:sz w:val="18"/>
      <w:szCs w:val="18"/>
    </w:rPr>
  </w:style>
  <w:style w:type="character" w:customStyle="1" w:styleId="a6">
    <w:name w:val="页脚 字符"/>
    <w:basedOn w:val="a0"/>
    <w:link w:val="a5"/>
    <w:uiPriority w:val="99"/>
    <w:rsid w:val="002656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889012">
      <w:bodyDiv w:val="1"/>
      <w:marLeft w:val="0"/>
      <w:marRight w:val="0"/>
      <w:marTop w:val="0"/>
      <w:marBottom w:val="0"/>
      <w:divBdr>
        <w:top w:val="none" w:sz="0" w:space="0" w:color="auto"/>
        <w:left w:val="none" w:sz="0" w:space="0" w:color="auto"/>
        <w:bottom w:val="none" w:sz="0" w:space="0" w:color="auto"/>
        <w:right w:val="none" w:sz="0" w:space="0" w:color="auto"/>
      </w:divBdr>
      <w:divsChild>
        <w:div w:id="1821532583">
          <w:marLeft w:val="0"/>
          <w:marRight w:val="0"/>
          <w:marTop w:val="0"/>
          <w:marBottom w:val="0"/>
          <w:divBdr>
            <w:top w:val="none" w:sz="0" w:space="0" w:color="auto"/>
            <w:left w:val="none" w:sz="0" w:space="0" w:color="auto"/>
            <w:bottom w:val="none" w:sz="0" w:space="0" w:color="auto"/>
            <w:right w:val="none" w:sz="0" w:space="0" w:color="auto"/>
          </w:divBdr>
          <w:divsChild>
            <w:div w:id="1725331475">
              <w:marLeft w:val="0"/>
              <w:marRight w:val="0"/>
              <w:marTop w:val="0"/>
              <w:marBottom w:val="0"/>
              <w:divBdr>
                <w:top w:val="none" w:sz="0" w:space="0" w:color="auto"/>
                <w:left w:val="none" w:sz="0" w:space="0" w:color="auto"/>
                <w:bottom w:val="none" w:sz="0" w:space="0" w:color="auto"/>
                <w:right w:val="none" w:sz="0" w:space="0" w:color="auto"/>
              </w:divBdr>
              <w:divsChild>
                <w:div w:id="271859352">
                  <w:marLeft w:val="0"/>
                  <w:marRight w:val="0"/>
                  <w:marTop w:val="0"/>
                  <w:marBottom w:val="0"/>
                  <w:divBdr>
                    <w:top w:val="none" w:sz="0" w:space="0" w:color="auto"/>
                    <w:left w:val="none" w:sz="0" w:space="0" w:color="auto"/>
                    <w:bottom w:val="none" w:sz="0" w:space="0" w:color="auto"/>
                    <w:right w:val="none" w:sz="0" w:space="0" w:color="auto"/>
                  </w:divBdr>
                  <w:divsChild>
                    <w:div w:id="599991396">
                      <w:marLeft w:val="0"/>
                      <w:marRight w:val="0"/>
                      <w:marTop w:val="100"/>
                      <w:marBottom w:val="150"/>
                      <w:divBdr>
                        <w:top w:val="single" w:sz="6" w:space="0" w:color="D0CFCD"/>
                        <w:left w:val="single" w:sz="6" w:space="0" w:color="D0CFCD"/>
                        <w:bottom w:val="single" w:sz="6" w:space="0" w:color="D0CFCD"/>
                        <w:right w:val="single" w:sz="6" w:space="0" w:color="D0CFCD"/>
                      </w:divBdr>
                    </w:div>
                    <w:div w:id="3554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9751">
              <w:marLeft w:val="0"/>
              <w:marRight w:val="0"/>
              <w:marTop w:val="0"/>
              <w:marBottom w:val="0"/>
              <w:divBdr>
                <w:top w:val="none" w:sz="0" w:space="0" w:color="auto"/>
                <w:left w:val="none" w:sz="0" w:space="0" w:color="auto"/>
                <w:bottom w:val="none" w:sz="0" w:space="0" w:color="auto"/>
                <w:right w:val="none" w:sz="0" w:space="0" w:color="auto"/>
              </w:divBdr>
              <w:divsChild>
                <w:div w:id="812598445">
                  <w:marLeft w:val="0"/>
                  <w:marRight w:val="0"/>
                  <w:marTop w:val="0"/>
                  <w:marBottom w:val="0"/>
                  <w:divBdr>
                    <w:top w:val="single" w:sz="6" w:space="0" w:color="CCCCCC"/>
                    <w:left w:val="single" w:sz="6" w:space="0" w:color="CCCCCC"/>
                    <w:bottom w:val="single" w:sz="6" w:space="0" w:color="CCCCCC"/>
                    <w:right w:val="single" w:sz="6" w:space="0" w:color="CCCCCC"/>
                  </w:divBdr>
                  <w:divsChild>
                    <w:div w:id="793183738">
                      <w:marLeft w:val="0"/>
                      <w:marRight w:val="0"/>
                      <w:marTop w:val="0"/>
                      <w:marBottom w:val="0"/>
                      <w:divBdr>
                        <w:top w:val="none" w:sz="0" w:space="0" w:color="auto"/>
                        <w:left w:val="none" w:sz="0" w:space="0" w:color="auto"/>
                        <w:bottom w:val="single" w:sz="6" w:space="0" w:color="03468C"/>
                        <w:right w:val="none" w:sz="0" w:space="0" w:color="auto"/>
                      </w:divBdr>
                    </w:div>
                    <w:div w:id="1964144676">
                      <w:marLeft w:val="0"/>
                      <w:marRight w:val="0"/>
                      <w:marTop w:val="0"/>
                      <w:marBottom w:val="0"/>
                      <w:divBdr>
                        <w:top w:val="none" w:sz="0" w:space="0" w:color="auto"/>
                        <w:left w:val="none" w:sz="0" w:space="0" w:color="auto"/>
                        <w:bottom w:val="none" w:sz="0" w:space="0" w:color="auto"/>
                        <w:right w:val="none" w:sz="0" w:space="0" w:color="auto"/>
                      </w:divBdr>
                      <w:divsChild>
                        <w:div w:id="1315599890">
                          <w:marLeft w:val="150"/>
                          <w:marRight w:val="0"/>
                          <w:marTop w:val="0"/>
                          <w:marBottom w:val="0"/>
                          <w:divBdr>
                            <w:top w:val="none" w:sz="0" w:space="0" w:color="auto"/>
                            <w:left w:val="none" w:sz="0" w:space="0" w:color="auto"/>
                            <w:bottom w:val="none" w:sz="0" w:space="0" w:color="auto"/>
                            <w:right w:val="none" w:sz="0" w:space="0" w:color="auto"/>
                          </w:divBdr>
                        </w:div>
                        <w:div w:id="8745443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79713354">
                  <w:marLeft w:val="0"/>
                  <w:marRight w:val="0"/>
                  <w:marTop w:val="0"/>
                  <w:marBottom w:val="0"/>
                  <w:divBdr>
                    <w:top w:val="single" w:sz="6" w:space="0" w:color="CCCCCC"/>
                    <w:left w:val="single" w:sz="6" w:space="0" w:color="CCCCCC"/>
                    <w:bottom w:val="single" w:sz="6" w:space="0" w:color="CCCCCC"/>
                    <w:right w:val="single" w:sz="6" w:space="0" w:color="CCCCCC"/>
                  </w:divBdr>
                  <w:divsChild>
                    <w:div w:id="1276476476">
                      <w:marLeft w:val="0"/>
                      <w:marRight w:val="0"/>
                      <w:marTop w:val="0"/>
                      <w:marBottom w:val="0"/>
                      <w:divBdr>
                        <w:top w:val="none" w:sz="0" w:space="0" w:color="auto"/>
                        <w:left w:val="none" w:sz="0" w:space="0" w:color="auto"/>
                        <w:bottom w:val="single" w:sz="6" w:space="0" w:color="03468C"/>
                        <w:right w:val="none" w:sz="0" w:space="0" w:color="auto"/>
                      </w:divBdr>
                    </w:div>
                    <w:div w:id="9525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2018-12-19T03:33:00Z</dcterms:created>
  <dcterms:modified xsi:type="dcterms:W3CDTF">2018-12-19T03:33:00Z</dcterms:modified>
</cp:coreProperties>
</file>