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shd w:val="clear" w:color="auto" w:fill="5E94EB"/>
        <w:tblCellMar>
          <w:left w:w="0" w:type="dxa"/>
          <w:right w:w="0" w:type="dxa"/>
        </w:tblCellMar>
        <w:tblLook w:val="04A0" w:firstRow="1" w:lastRow="0" w:firstColumn="1" w:lastColumn="0" w:noHBand="0" w:noVBand="1"/>
      </w:tblPr>
      <w:tblGrid>
        <w:gridCol w:w="667"/>
        <w:gridCol w:w="3781"/>
        <w:gridCol w:w="930"/>
        <w:gridCol w:w="2928"/>
      </w:tblGrid>
      <w:tr w:rsidR="007938B1" w:rsidRPr="007938B1" w:rsidTr="007938B1">
        <w:trPr>
          <w:trHeight w:val="525"/>
          <w:tblCellSpacing w:w="7" w:type="dxa"/>
        </w:trPr>
        <w:tc>
          <w:tcPr>
            <w:tcW w:w="1500" w:type="dxa"/>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索引号：</w:t>
            </w:r>
          </w:p>
        </w:tc>
        <w:tc>
          <w:tcPr>
            <w:tcW w:w="6750" w:type="dxa"/>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lef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14252399/2018-00045</w:t>
            </w:r>
          </w:p>
        </w:tc>
        <w:tc>
          <w:tcPr>
            <w:tcW w:w="1500" w:type="dxa"/>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信息分类：</w:t>
            </w:r>
          </w:p>
        </w:tc>
        <w:tc>
          <w:tcPr>
            <w:tcW w:w="6750" w:type="dxa"/>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lef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商贸、海关、旅游</w:t>
            </w:r>
            <w:r w:rsidRPr="007938B1">
              <w:rPr>
                <w:rFonts w:ascii="Microsoft Yahei" w:eastAsia="宋体" w:hAnsi="Microsoft Yahei" w:cs="宋体"/>
                <w:color w:val="333333"/>
                <w:kern w:val="0"/>
                <w:sz w:val="24"/>
                <w:szCs w:val="24"/>
              </w:rPr>
              <w:t>/</w:t>
            </w:r>
            <w:r w:rsidRPr="007938B1">
              <w:rPr>
                <w:rFonts w:ascii="Microsoft Yahei" w:eastAsia="宋体" w:hAnsi="Microsoft Yahei" w:cs="宋体"/>
                <w:color w:val="333333"/>
                <w:kern w:val="0"/>
                <w:sz w:val="24"/>
                <w:szCs w:val="24"/>
              </w:rPr>
              <w:t>其他</w:t>
            </w:r>
          </w:p>
        </w:tc>
      </w:tr>
      <w:tr w:rsidR="007938B1" w:rsidRPr="007938B1" w:rsidTr="007938B1">
        <w:trPr>
          <w:trHeight w:val="525"/>
          <w:tblCellSpacing w:w="7" w:type="dxa"/>
        </w:trPr>
        <w:tc>
          <w:tcPr>
            <w:tcW w:w="0" w:type="auto"/>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发布机构：</w:t>
            </w:r>
          </w:p>
        </w:tc>
        <w:tc>
          <w:tcPr>
            <w:tcW w:w="0" w:type="auto"/>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lef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连云港市商务局</w:t>
            </w:r>
          </w:p>
        </w:tc>
        <w:tc>
          <w:tcPr>
            <w:tcW w:w="0" w:type="auto"/>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成文日期：</w:t>
            </w:r>
          </w:p>
        </w:tc>
        <w:tc>
          <w:tcPr>
            <w:tcW w:w="0" w:type="auto"/>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lef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2018-11-13</w:t>
            </w:r>
          </w:p>
        </w:tc>
      </w:tr>
      <w:tr w:rsidR="007938B1" w:rsidRPr="007938B1" w:rsidTr="007938B1">
        <w:trPr>
          <w:trHeight w:val="525"/>
          <w:tblCellSpacing w:w="7" w:type="dxa"/>
        </w:trPr>
        <w:tc>
          <w:tcPr>
            <w:tcW w:w="0" w:type="auto"/>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文号：</w:t>
            </w:r>
          </w:p>
        </w:tc>
        <w:tc>
          <w:tcPr>
            <w:tcW w:w="0" w:type="auto"/>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lef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连商发〔</w:t>
            </w:r>
            <w:r w:rsidRPr="007938B1">
              <w:rPr>
                <w:rFonts w:ascii="Microsoft Yahei" w:eastAsia="宋体" w:hAnsi="Microsoft Yahei" w:cs="宋体"/>
                <w:color w:val="333333"/>
                <w:kern w:val="0"/>
                <w:sz w:val="24"/>
                <w:szCs w:val="24"/>
              </w:rPr>
              <w:t>2018</w:t>
            </w:r>
            <w:r w:rsidRPr="007938B1">
              <w:rPr>
                <w:rFonts w:ascii="Microsoft Yahei" w:eastAsia="宋体" w:hAnsi="Microsoft Yahei" w:cs="宋体"/>
                <w:color w:val="333333"/>
                <w:kern w:val="0"/>
                <w:sz w:val="24"/>
                <w:szCs w:val="24"/>
              </w:rPr>
              <w:t>〕</w:t>
            </w:r>
            <w:r w:rsidRPr="007938B1">
              <w:rPr>
                <w:rFonts w:ascii="Microsoft Yahei" w:eastAsia="宋体" w:hAnsi="Microsoft Yahei" w:cs="宋体"/>
                <w:color w:val="333333"/>
                <w:kern w:val="0"/>
                <w:sz w:val="24"/>
                <w:szCs w:val="24"/>
              </w:rPr>
              <w:t>280</w:t>
            </w:r>
            <w:r w:rsidRPr="007938B1">
              <w:rPr>
                <w:rFonts w:ascii="Microsoft Yahei" w:eastAsia="宋体" w:hAnsi="Microsoft Yahei" w:cs="宋体"/>
                <w:color w:val="333333"/>
                <w:kern w:val="0"/>
                <w:sz w:val="24"/>
                <w:szCs w:val="24"/>
              </w:rPr>
              <w:t>号</w:t>
            </w:r>
          </w:p>
        </w:tc>
        <w:tc>
          <w:tcPr>
            <w:tcW w:w="0" w:type="auto"/>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重点领域：</w:t>
            </w:r>
          </w:p>
        </w:tc>
        <w:tc>
          <w:tcPr>
            <w:tcW w:w="0" w:type="auto"/>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lef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其他</w:t>
            </w:r>
          </w:p>
        </w:tc>
      </w:tr>
      <w:tr w:rsidR="007938B1" w:rsidRPr="007938B1" w:rsidTr="007938B1">
        <w:trPr>
          <w:trHeight w:val="525"/>
          <w:tblCellSpacing w:w="7" w:type="dxa"/>
        </w:trPr>
        <w:tc>
          <w:tcPr>
            <w:tcW w:w="0" w:type="auto"/>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信息名称：</w:t>
            </w:r>
          </w:p>
        </w:tc>
        <w:tc>
          <w:tcPr>
            <w:tcW w:w="0" w:type="auto"/>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lef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连云港市使用省级服务外包切块资金实施细则</w:t>
            </w:r>
          </w:p>
        </w:tc>
        <w:tc>
          <w:tcPr>
            <w:tcW w:w="0" w:type="auto"/>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文件下载：</w:t>
            </w:r>
          </w:p>
        </w:tc>
        <w:tc>
          <w:tcPr>
            <w:tcW w:w="0" w:type="auto"/>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p>
        </w:tc>
      </w:tr>
      <w:tr w:rsidR="007938B1" w:rsidRPr="007938B1" w:rsidTr="007938B1">
        <w:trPr>
          <w:trHeight w:val="525"/>
          <w:tblCellSpacing w:w="7" w:type="dxa"/>
        </w:trPr>
        <w:tc>
          <w:tcPr>
            <w:tcW w:w="0" w:type="auto"/>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内容概览：</w:t>
            </w:r>
          </w:p>
        </w:tc>
        <w:tc>
          <w:tcPr>
            <w:tcW w:w="0" w:type="auto"/>
            <w:gridSpan w:val="3"/>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lef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为规范省级服务外包项目切块资金使用与管理，充分发挥项目资金的引导作用，推动我市服务外包高质发展，提高财政资金使用绩效，根据《江苏省省级商务发展专项资金管理办法》（苏财规〔</w:t>
            </w:r>
            <w:r w:rsidRPr="007938B1">
              <w:rPr>
                <w:rFonts w:ascii="Microsoft Yahei" w:eastAsia="宋体" w:hAnsi="Microsoft Yahei" w:cs="宋体"/>
                <w:color w:val="333333"/>
                <w:kern w:val="0"/>
                <w:sz w:val="24"/>
                <w:szCs w:val="24"/>
              </w:rPr>
              <w:t>2014</w:t>
            </w:r>
            <w:r w:rsidRPr="007938B1">
              <w:rPr>
                <w:rFonts w:ascii="Microsoft Yahei" w:eastAsia="宋体" w:hAnsi="Microsoft Yahei" w:cs="宋体"/>
                <w:color w:val="333333"/>
                <w:kern w:val="0"/>
                <w:sz w:val="24"/>
                <w:szCs w:val="24"/>
              </w:rPr>
              <w:t>〕</w:t>
            </w:r>
            <w:r w:rsidRPr="007938B1">
              <w:rPr>
                <w:rFonts w:ascii="Microsoft Yahei" w:eastAsia="宋体" w:hAnsi="Microsoft Yahei" w:cs="宋体"/>
                <w:color w:val="333333"/>
                <w:kern w:val="0"/>
                <w:sz w:val="24"/>
                <w:szCs w:val="24"/>
              </w:rPr>
              <w:t>37</w:t>
            </w:r>
            <w:r w:rsidRPr="007938B1">
              <w:rPr>
                <w:rFonts w:ascii="Microsoft Yahei" w:eastAsia="宋体" w:hAnsi="Microsoft Yahei" w:cs="宋体"/>
                <w:color w:val="333333"/>
                <w:kern w:val="0"/>
                <w:sz w:val="24"/>
                <w:szCs w:val="24"/>
              </w:rPr>
              <w:t>号）规定，按照《江苏省财政厅关于进一步加强省级涉企专项资金管理的意见》（苏财规〔</w:t>
            </w:r>
            <w:r w:rsidRPr="007938B1">
              <w:rPr>
                <w:rFonts w:ascii="Microsoft Yahei" w:eastAsia="宋体" w:hAnsi="Microsoft Yahei" w:cs="宋体"/>
                <w:color w:val="333333"/>
                <w:kern w:val="0"/>
                <w:sz w:val="24"/>
                <w:szCs w:val="24"/>
              </w:rPr>
              <w:t>2016</w:t>
            </w:r>
            <w:r w:rsidRPr="007938B1">
              <w:rPr>
                <w:rFonts w:ascii="Microsoft Yahei" w:eastAsia="宋体" w:hAnsi="Microsoft Yahei" w:cs="宋体"/>
                <w:color w:val="333333"/>
                <w:kern w:val="0"/>
                <w:sz w:val="24"/>
                <w:szCs w:val="24"/>
              </w:rPr>
              <w:t>〕</w:t>
            </w:r>
            <w:r w:rsidRPr="007938B1">
              <w:rPr>
                <w:rFonts w:ascii="Microsoft Yahei" w:eastAsia="宋体" w:hAnsi="Microsoft Yahei" w:cs="宋体"/>
                <w:color w:val="333333"/>
                <w:kern w:val="0"/>
                <w:sz w:val="24"/>
                <w:szCs w:val="24"/>
              </w:rPr>
              <w:t>83</w:t>
            </w:r>
            <w:r w:rsidRPr="007938B1">
              <w:rPr>
                <w:rFonts w:ascii="Microsoft Yahei" w:eastAsia="宋体" w:hAnsi="Microsoft Yahei" w:cs="宋体"/>
                <w:color w:val="333333"/>
                <w:kern w:val="0"/>
                <w:sz w:val="24"/>
                <w:szCs w:val="24"/>
              </w:rPr>
              <w:t>号）要求，结合我市实际，制定本实施细则。</w:t>
            </w:r>
          </w:p>
        </w:tc>
      </w:tr>
      <w:tr w:rsidR="007938B1" w:rsidRPr="007938B1" w:rsidTr="007938B1">
        <w:trPr>
          <w:trHeight w:val="525"/>
          <w:tblCellSpacing w:w="7" w:type="dxa"/>
        </w:trPr>
        <w:tc>
          <w:tcPr>
            <w:tcW w:w="0" w:type="auto"/>
            <w:shd w:val="clear" w:color="auto" w:fill="96BCFB"/>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时效：</w:t>
            </w:r>
          </w:p>
        </w:tc>
        <w:tc>
          <w:tcPr>
            <w:tcW w:w="0" w:type="auto"/>
            <w:gridSpan w:val="3"/>
            <w:shd w:val="clear" w:color="auto" w:fill="FFFFFF"/>
            <w:tcMar>
              <w:top w:w="0" w:type="dxa"/>
              <w:left w:w="150" w:type="dxa"/>
              <w:bottom w:w="0" w:type="dxa"/>
              <w:right w:w="0" w:type="dxa"/>
            </w:tcMar>
            <w:vAlign w:val="center"/>
            <w:hideMark/>
          </w:tcPr>
          <w:p w:rsidR="007938B1" w:rsidRPr="007938B1" w:rsidRDefault="007938B1" w:rsidP="007938B1">
            <w:pPr>
              <w:widowControl/>
              <w:spacing w:line="420" w:lineRule="atLeast"/>
              <w:jc w:val="right"/>
              <w:rPr>
                <w:rFonts w:ascii="Microsoft Yahei" w:eastAsia="宋体" w:hAnsi="Microsoft Yahei" w:cs="宋体"/>
                <w:color w:val="333333"/>
                <w:kern w:val="0"/>
                <w:sz w:val="24"/>
                <w:szCs w:val="24"/>
              </w:rPr>
            </w:pPr>
          </w:p>
        </w:tc>
      </w:tr>
    </w:tbl>
    <w:p w:rsidR="007938B1" w:rsidRPr="007938B1" w:rsidRDefault="007938B1" w:rsidP="007938B1">
      <w:pPr>
        <w:widowControl/>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90"/>
      </w:tblGrid>
      <w:tr w:rsidR="007938B1" w:rsidRPr="007938B1" w:rsidTr="007938B1">
        <w:trPr>
          <w:trHeight w:val="6000"/>
          <w:tblCellSpacing w:w="0" w:type="dxa"/>
        </w:trPr>
        <w:tc>
          <w:tcPr>
            <w:tcW w:w="0" w:type="auto"/>
            <w:tcBorders>
              <w:top w:val="single" w:sz="6" w:space="0" w:color="5E94EB"/>
              <w:left w:val="single" w:sz="6" w:space="0" w:color="5E94EB"/>
              <w:bottom w:val="single" w:sz="6" w:space="0" w:color="5E94EB"/>
              <w:right w:val="single" w:sz="6" w:space="0" w:color="5E94EB"/>
            </w:tcBorders>
            <w:shd w:val="clear" w:color="auto" w:fill="FFFFFF"/>
            <w:tcMar>
              <w:top w:w="225" w:type="dxa"/>
              <w:left w:w="225" w:type="dxa"/>
              <w:bottom w:w="225" w:type="dxa"/>
              <w:right w:w="225" w:type="dxa"/>
            </w:tcMar>
            <w:hideMark/>
          </w:tcPr>
          <w:tbl>
            <w:tblPr>
              <w:tblW w:w="5000" w:type="pct"/>
              <w:tblCellSpacing w:w="0" w:type="dxa"/>
              <w:tblCellMar>
                <w:left w:w="0" w:type="dxa"/>
                <w:right w:w="0" w:type="dxa"/>
              </w:tblCellMar>
              <w:tblLook w:val="04A0" w:firstRow="1" w:lastRow="0" w:firstColumn="1" w:lastColumn="0" w:noHBand="0" w:noVBand="1"/>
            </w:tblPr>
            <w:tblGrid>
              <w:gridCol w:w="167"/>
              <w:gridCol w:w="514"/>
              <w:gridCol w:w="957"/>
              <w:gridCol w:w="514"/>
              <w:gridCol w:w="1998"/>
              <w:gridCol w:w="6"/>
              <w:gridCol w:w="1122"/>
              <w:gridCol w:w="616"/>
              <w:gridCol w:w="768"/>
              <w:gridCol w:w="1148"/>
            </w:tblGrid>
            <w:tr w:rsidR="007938B1" w:rsidRPr="007938B1">
              <w:trPr>
                <w:trHeight w:val="345"/>
                <w:tblCellSpacing w:w="0" w:type="dxa"/>
              </w:trPr>
              <w:tc>
                <w:tcPr>
                  <w:tcW w:w="225" w:type="dxa"/>
                  <w:vAlign w:val="center"/>
                  <w:hideMark/>
                </w:tcPr>
                <w:p w:rsidR="007938B1" w:rsidRPr="007938B1" w:rsidRDefault="007938B1" w:rsidP="007938B1">
                  <w:pPr>
                    <w:widowControl/>
                    <w:jc w:val="left"/>
                    <w:rPr>
                      <w:rFonts w:ascii="宋体" w:eastAsia="宋体" w:hAnsi="宋体" w:cs="宋体"/>
                      <w:kern w:val="0"/>
                      <w:sz w:val="24"/>
                      <w:szCs w:val="24"/>
                    </w:rPr>
                  </w:pPr>
                </w:p>
              </w:tc>
              <w:tc>
                <w:tcPr>
                  <w:tcW w:w="675" w:type="dxa"/>
                  <w:vAlign w:val="center"/>
                  <w:hideMark/>
                </w:tcPr>
                <w:p w:rsidR="007938B1" w:rsidRPr="007938B1" w:rsidRDefault="007938B1" w:rsidP="007938B1">
                  <w:pPr>
                    <w:widowControl/>
                    <w:spacing w:line="420" w:lineRule="atLeast"/>
                    <w:jc w:val="left"/>
                    <w:rPr>
                      <w:rFonts w:ascii="Microsoft Yahei" w:eastAsia="宋体" w:hAnsi="Microsoft Yahei" w:cs="宋体"/>
                      <w:color w:val="535353"/>
                      <w:kern w:val="0"/>
                      <w:sz w:val="24"/>
                      <w:szCs w:val="24"/>
                    </w:rPr>
                  </w:pPr>
                  <w:r w:rsidRPr="007938B1">
                    <w:rPr>
                      <w:rFonts w:ascii="Microsoft Yahei" w:eastAsia="宋体" w:hAnsi="Microsoft Yahei" w:cs="宋体"/>
                      <w:color w:val="535353"/>
                      <w:kern w:val="0"/>
                      <w:sz w:val="24"/>
                      <w:szCs w:val="24"/>
                    </w:rPr>
                    <w:t> </w:t>
                  </w:r>
                </w:p>
              </w:tc>
              <w:tc>
                <w:tcPr>
                  <w:tcW w:w="1275" w:type="dxa"/>
                  <w:vAlign w:val="center"/>
                  <w:hideMark/>
                </w:tcPr>
                <w:p w:rsidR="007938B1" w:rsidRPr="007938B1" w:rsidRDefault="007938B1" w:rsidP="007938B1">
                  <w:pPr>
                    <w:widowControl/>
                    <w:spacing w:line="420" w:lineRule="atLeast"/>
                    <w:jc w:val="left"/>
                    <w:rPr>
                      <w:rFonts w:ascii="Microsoft Yahei" w:eastAsia="宋体" w:hAnsi="Microsoft Yahei" w:cs="宋体"/>
                      <w:color w:val="535353"/>
                      <w:kern w:val="0"/>
                      <w:sz w:val="24"/>
                      <w:szCs w:val="24"/>
                    </w:rPr>
                  </w:pPr>
                  <w:r w:rsidRPr="007938B1">
                    <w:rPr>
                      <w:rFonts w:ascii="Microsoft Yahei" w:eastAsia="宋体" w:hAnsi="Microsoft Yahei" w:cs="宋体"/>
                      <w:color w:val="535353"/>
                      <w:kern w:val="0"/>
                      <w:sz w:val="24"/>
                      <w:szCs w:val="24"/>
                    </w:rPr>
                    <w:t> </w:t>
                  </w:r>
                </w:p>
              </w:tc>
              <w:tc>
                <w:tcPr>
                  <w:tcW w:w="675" w:type="dxa"/>
                  <w:vAlign w:val="center"/>
                  <w:hideMark/>
                </w:tcPr>
                <w:p w:rsidR="007938B1" w:rsidRPr="007938B1" w:rsidRDefault="007938B1" w:rsidP="007938B1">
                  <w:pPr>
                    <w:widowControl/>
                    <w:spacing w:line="420" w:lineRule="atLeast"/>
                    <w:jc w:val="left"/>
                    <w:rPr>
                      <w:rFonts w:ascii="Microsoft Yahei" w:eastAsia="宋体" w:hAnsi="Microsoft Yahei" w:cs="宋体"/>
                      <w:color w:val="535353"/>
                      <w:kern w:val="0"/>
                      <w:sz w:val="24"/>
                      <w:szCs w:val="24"/>
                    </w:rPr>
                  </w:pPr>
                  <w:r w:rsidRPr="007938B1">
                    <w:rPr>
                      <w:rFonts w:ascii="Microsoft Yahei" w:eastAsia="宋体" w:hAnsi="Microsoft Yahei" w:cs="宋体"/>
                      <w:color w:val="535353"/>
                      <w:kern w:val="0"/>
                      <w:sz w:val="24"/>
                      <w:szCs w:val="24"/>
                    </w:rPr>
                    <w:t> </w:t>
                  </w:r>
                </w:p>
              </w:tc>
              <w:tc>
                <w:tcPr>
                  <w:tcW w:w="2685" w:type="dxa"/>
                  <w:vAlign w:val="center"/>
                  <w:hideMark/>
                </w:tcPr>
                <w:p w:rsidR="007938B1" w:rsidRPr="007938B1" w:rsidRDefault="007938B1" w:rsidP="007938B1">
                  <w:pPr>
                    <w:widowControl/>
                    <w:spacing w:line="420" w:lineRule="atLeast"/>
                    <w:jc w:val="left"/>
                    <w:rPr>
                      <w:rFonts w:ascii="Microsoft Yahei" w:eastAsia="宋体" w:hAnsi="Microsoft Yahei" w:cs="宋体"/>
                      <w:color w:val="535353"/>
                      <w:kern w:val="0"/>
                      <w:sz w:val="24"/>
                      <w:szCs w:val="24"/>
                    </w:rPr>
                  </w:pPr>
                  <w:r w:rsidRPr="007938B1">
                    <w:rPr>
                      <w:rFonts w:ascii="Microsoft Yahei" w:eastAsia="宋体" w:hAnsi="Microsoft Yahei" w:cs="宋体"/>
                      <w:color w:val="535353"/>
                      <w:kern w:val="0"/>
                      <w:sz w:val="24"/>
                      <w:szCs w:val="24"/>
                    </w:rPr>
                    <w:t> </w:t>
                  </w:r>
                </w:p>
              </w:tc>
              <w:tc>
                <w:tcPr>
                  <w:tcW w:w="0" w:type="auto"/>
                  <w:vAlign w:val="center"/>
                  <w:hideMark/>
                </w:tcPr>
                <w:p w:rsidR="007938B1" w:rsidRPr="007938B1" w:rsidRDefault="007938B1" w:rsidP="007938B1">
                  <w:pPr>
                    <w:widowControl/>
                    <w:spacing w:line="420" w:lineRule="atLeast"/>
                    <w:jc w:val="left"/>
                    <w:rPr>
                      <w:rFonts w:ascii="Microsoft Yahei" w:eastAsia="宋体" w:hAnsi="Microsoft Yahei" w:cs="宋体"/>
                      <w:color w:val="535353"/>
                      <w:kern w:val="0"/>
                      <w:sz w:val="24"/>
                      <w:szCs w:val="24"/>
                    </w:rPr>
                  </w:pPr>
                </w:p>
              </w:tc>
              <w:tc>
                <w:tcPr>
                  <w:tcW w:w="1350" w:type="dxa"/>
                  <w:vAlign w:val="center"/>
                  <w:hideMark/>
                </w:tcPr>
                <w:p w:rsidR="007938B1" w:rsidRPr="007938B1" w:rsidRDefault="007938B1" w:rsidP="007938B1">
                  <w:pPr>
                    <w:widowControl/>
                    <w:spacing w:line="420" w:lineRule="atLeast"/>
                    <w:jc w:val="left"/>
                    <w:rPr>
                      <w:rFonts w:ascii="Microsoft Yahei" w:eastAsia="宋体" w:hAnsi="Microsoft Yahei" w:cs="宋体"/>
                      <w:color w:val="535353"/>
                      <w:kern w:val="0"/>
                      <w:sz w:val="24"/>
                      <w:szCs w:val="24"/>
                    </w:rPr>
                  </w:pPr>
                  <w:r w:rsidRPr="007938B1">
                    <w:rPr>
                      <w:rFonts w:ascii="Microsoft Yahei" w:eastAsia="宋体" w:hAnsi="Microsoft Yahei" w:cs="宋体"/>
                      <w:color w:val="535353"/>
                      <w:kern w:val="0"/>
                      <w:sz w:val="24"/>
                      <w:szCs w:val="24"/>
                    </w:rPr>
                    <w:t>浏览次数：</w:t>
                  </w:r>
                </w:p>
              </w:tc>
              <w:tc>
                <w:tcPr>
                  <w:tcW w:w="750" w:type="dxa"/>
                  <w:vAlign w:val="center"/>
                  <w:hideMark/>
                </w:tcPr>
                <w:p w:rsidR="007938B1" w:rsidRPr="007938B1" w:rsidRDefault="007938B1" w:rsidP="007938B1">
                  <w:pPr>
                    <w:widowControl/>
                    <w:spacing w:line="420" w:lineRule="atLeast"/>
                    <w:jc w:val="left"/>
                    <w:rPr>
                      <w:rFonts w:ascii="Microsoft Yahei" w:eastAsia="宋体" w:hAnsi="Microsoft Yahei" w:cs="宋体"/>
                      <w:color w:val="535353"/>
                      <w:kern w:val="0"/>
                      <w:sz w:val="24"/>
                      <w:szCs w:val="24"/>
                    </w:rPr>
                  </w:pPr>
                  <w:r w:rsidRPr="007938B1">
                    <w:rPr>
                      <w:rFonts w:ascii="Microsoft Yahei" w:eastAsia="宋体" w:hAnsi="Microsoft Yahei" w:cs="宋体"/>
                      <w:color w:val="535353"/>
                      <w:kern w:val="0"/>
                      <w:sz w:val="24"/>
                      <w:szCs w:val="24"/>
                    </w:rPr>
                    <w:t>14</w:t>
                  </w:r>
                </w:p>
              </w:tc>
              <w:tc>
                <w:tcPr>
                  <w:tcW w:w="870" w:type="dxa"/>
                  <w:vAlign w:val="center"/>
                  <w:hideMark/>
                </w:tcPr>
                <w:p w:rsidR="007938B1" w:rsidRPr="007938B1" w:rsidRDefault="007938B1" w:rsidP="007938B1">
                  <w:pPr>
                    <w:widowControl/>
                    <w:spacing w:line="420" w:lineRule="atLeast"/>
                    <w:jc w:val="center"/>
                    <w:rPr>
                      <w:rFonts w:ascii="Microsoft Yahei" w:eastAsia="宋体" w:hAnsi="Microsoft Yahei" w:cs="宋体"/>
                      <w:color w:val="535353"/>
                      <w:kern w:val="0"/>
                      <w:sz w:val="24"/>
                      <w:szCs w:val="24"/>
                    </w:rPr>
                  </w:pPr>
                  <w:r w:rsidRPr="007938B1">
                    <w:rPr>
                      <w:rFonts w:ascii="Microsoft Yahei" w:eastAsia="宋体" w:hAnsi="Microsoft Yahei" w:cs="宋体"/>
                      <w:color w:val="535353"/>
                      <w:kern w:val="0"/>
                      <w:sz w:val="24"/>
                      <w:szCs w:val="24"/>
                    </w:rPr>
                    <w:t>字体：</w:t>
                  </w:r>
                </w:p>
              </w:tc>
              <w:tc>
                <w:tcPr>
                  <w:tcW w:w="1200" w:type="dxa"/>
                  <w:vAlign w:val="center"/>
                  <w:hideMark/>
                </w:tcPr>
                <w:p w:rsidR="007938B1" w:rsidRPr="007938B1" w:rsidRDefault="007938B1" w:rsidP="007938B1">
                  <w:pPr>
                    <w:widowControl/>
                    <w:spacing w:line="420" w:lineRule="atLeast"/>
                    <w:jc w:val="left"/>
                    <w:rPr>
                      <w:rFonts w:ascii="Microsoft Yahei" w:eastAsia="宋体" w:hAnsi="Microsoft Yahei" w:cs="宋体"/>
                      <w:color w:val="535353"/>
                      <w:kern w:val="0"/>
                      <w:sz w:val="24"/>
                      <w:szCs w:val="24"/>
                    </w:rPr>
                  </w:pPr>
                  <w:r w:rsidRPr="007938B1">
                    <w:rPr>
                      <w:rFonts w:ascii="Microsoft Yahei" w:eastAsia="宋体" w:hAnsi="Microsoft Yahei" w:cs="宋体"/>
                      <w:color w:val="535353"/>
                      <w:kern w:val="0"/>
                      <w:sz w:val="24"/>
                      <w:szCs w:val="24"/>
                    </w:rPr>
                    <w:t>[</w:t>
                  </w:r>
                  <w:hyperlink r:id="rId4" w:history="1">
                    <w:r w:rsidRPr="007938B1">
                      <w:rPr>
                        <w:rFonts w:ascii="Microsoft Yahei" w:eastAsia="宋体" w:hAnsi="Microsoft Yahei" w:cs="宋体"/>
                        <w:color w:val="333333"/>
                        <w:kern w:val="0"/>
                        <w:sz w:val="24"/>
                        <w:szCs w:val="24"/>
                      </w:rPr>
                      <w:t>大</w:t>
                    </w:r>
                  </w:hyperlink>
                  <w:r w:rsidRPr="007938B1">
                    <w:rPr>
                      <w:rFonts w:ascii="Microsoft Yahei" w:eastAsia="宋体" w:hAnsi="Microsoft Yahei" w:cs="宋体"/>
                      <w:color w:val="535353"/>
                      <w:kern w:val="0"/>
                      <w:sz w:val="24"/>
                      <w:szCs w:val="24"/>
                    </w:rPr>
                    <w:t> </w:t>
                  </w:r>
                  <w:hyperlink r:id="rId5" w:history="1">
                    <w:r w:rsidRPr="007938B1">
                      <w:rPr>
                        <w:rFonts w:ascii="Microsoft Yahei" w:eastAsia="宋体" w:hAnsi="Microsoft Yahei" w:cs="宋体"/>
                        <w:color w:val="333333"/>
                        <w:kern w:val="0"/>
                        <w:sz w:val="24"/>
                        <w:szCs w:val="24"/>
                      </w:rPr>
                      <w:t>中</w:t>
                    </w:r>
                  </w:hyperlink>
                  <w:r w:rsidRPr="007938B1">
                    <w:rPr>
                      <w:rFonts w:ascii="Microsoft Yahei" w:eastAsia="宋体" w:hAnsi="Microsoft Yahei" w:cs="宋体"/>
                      <w:color w:val="535353"/>
                      <w:kern w:val="0"/>
                      <w:sz w:val="24"/>
                      <w:szCs w:val="24"/>
                    </w:rPr>
                    <w:t> </w:t>
                  </w:r>
                  <w:hyperlink r:id="rId6" w:history="1">
                    <w:r w:rsidRPr="007938B1">
                      <w:rPr>
                        <w:rFonts w:ascii="Microsoft Yahei" w:eastAsia="宋体" w:hAnsi="Microsoft Yahei" w:cs="宋体"/>
                        <w:color w:val="333333"/>
                        <w:kern w:val="0"/>
                        <w:sz w:val="24"/>
                        <w:szCs w:val="24"/>
                      </w:rPr>
                      <w:t>小</w:t>
                    </w:r>
                  </w:hyperlink>
                  <w:r w:rsidRPr="007938B1">
                    <w:rPr>
                      <w:rFonts w:ascii="Microsoft Yahei" w:eastAsia="宋体" w:hAnsi="Microsoft Yahei" w:cs="宋体"/>
                      <w:color w:val="535353"/>
                      <w:kern w:val="0"/>
                      <w:sz w:val="24"/>
                      <w:szCs w:val="24"/>
                    </w:rPr>
                    <w:t>]</w:t>
                  </w:r>
                </w:p>
              </w:tc>
            </w:tr>
          </w:tbl>
          <w:p w:rsidR="007938B1" w:rsidRPr="007938B1" w:rsidRDefault="007938B1" w:rsidP="007938B1">
            <w:pPr>
              <w:widowControl/>
              <w:spacing w:line="900" w:lineRule="atLeast"/>
              <w:jc w:val="center"/>
              <w:rPr>
                <w:rFonts w:ascii="Microsoft Yahei" w:eastAsia="宋体" w:hAnsi="Microsoft Yahei" w:cs="宋体"/>
                <w:b/>
                <w:bCs/>
                <w:color w:val="333333"/>
                <w:kern w:val="0"/>
                <w:sz w:val="33"/>
                <w:szCs w:val="33"/>
              </w:rPr>
            </w:pPr>
            <w:r w:rsidRPr="007938B1">
              <w:rPr>
                <w:rFonts w:ascii="Microsoft Yahei" w:eastAsia="宋体" w:hAnsi="Microsoft Yahei" w:cs="宋体"/>
                <w:b/>
                <w:bCs/>
                <w:color w:val="333333"/>
                <w:kern w:val="0"/>
                <w:sz w:val="33"/>
                <w:szCs w:val="33"/>
              </w:rPr>
              <w:t>连云港市使用省级服务外包切块资金实施细则</w:t>
            </w:r>
          </w:p>
          <w:p w:rsidR="007938B1" w:rsidRPr="007938B1" w:rsidRDefault="007938B1" w:rsidP="007938B1">
            <w:pPr>
              <w:widowControl/>
              <w:spacing w:line="555" w:lineRule="atLeast"/>
              <w:ind w:firstLine="480"/>
              <w:jc w:val="center"/>
              <w:rPr>
                <w:rFonts w:ascii="Microsoft Yahei" w:eastAsia="宋体" w:hAnsi="Microsoft Yahei" w:cs="宋体"/>
                <w:color w:val="333333"/>
                <w:kern w:val="0"/>
                <w:sz w:val="24"/>
                <w:szCs w:val="24"/>
              </w:rPr>
            </w:pPr>
            <w:r w:rsidRPr="007938B1">
              <w:rPr>
                <w:rFonts w:ascii="Microsoft Yahei" w:eastAsia="宋体" w:hAnsi="Microsoft Yahei" w:cs="宋体"/>
                <w:color w:val="333333"/>
                <w:kern w:val="0"/>
                <w:sz w:val="24"/>
                <w:szCs w:val="24"/>
              </w:rPr>
              <w:t> </w:t>
            </w:r>
          </w:p>
          <w:p w:rsidR="007938B1" w:rsidRPr="007938B1" w:rsidRDefault="007938B1" w:rsidP="007938B1">
            <w:pPr>
              <w:widowControl/>
              <w:spacing w:line="420" w:lineRule="atLeast"/>
              <w:jc w:val="center"/>
              <w:rPr>
                <w:rFonts w:ascii="Microsoft Yahei" w:eastAsia="宋体" w:hAnsi="Microsoft Yahei" w:cs="宋体"/>
                <w:color w:val="333333"/>
                <w:kern w:val="0"/>
                <w:sz w:val="24"/>
                <w:szCs w:val="24"/>
              </w:rPr>
            </w:pP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第一章</w:t>
            </w: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总则</w:t>
            </w:r>
          </w:p>
          <w:p w:rsidR="007938B1" w:rsidRPr="007938B1" w:rsidRDefault="007938B1" w:rsidP="007938B1">
            <w:pPr>
              <w:widowControl/>
              <w:spacing w:line="55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第一条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为规范省级服务外包项目切块资金使用与管理，充分发挥项目资金的引导作用，推动我市服务外包高质发展，提高财政资金使用绩效，根据《江苏省省级商务发展专项资金管理办法》（苏财规〔</w:t>
            </w:r>
            <w:r w:rsidRPr="007938B1">
              <w:rPr>
                <w:rFonts w:ascii="Microsoft Yahei" w:eastAsia="宋体" w:hAnsi="Microsoft Yahei" w:cs="宋体"/>
                <w:color w:val="000000"/>
                <w:kern w:val="0"/>
                <w:sz w:val="24"/>
                <w:szCs w:val="24"/>
              </w:rPr>
              <w:t>2014</w:t>
            </w:r>
            <w:r w:rsidRPr="007938B1">
              <w:rPr>
                <w:rFonts w:ascii="Microsoft Yahei" w:eastAsia="宋体" w:hAnsi="Microsoft Yahei" w:cs="宋体"/>
                <w:color w:val="000000"/>
                <w:kern w:val="0"/>
                <w:sz w:val="24"/>
                <w:szCs w:val="24"/>
              </w:rPr>
              <w:t>〕</w:t>
            </w:r>
            <w:r w:rsidRPr="007938B1">
              <w:rPr>
                <w:rFonts w:ascii="Microsoft Yahei" w:eastAsia="宋体" w:hAnsi="Microsoft Yahei" w:cs="宋体"/>
                <w:color w:val="000000"/>
                <w:kern w:val="0"/>
                <w:sz w:val="24"/>
                <w:szCs w:val="24"/>
              </w:rPr>
              <w:t>37</w:t>
            </w:r>
            <w:r w:rsidRPr="007938B1">
              <w:rPr>
                <w:rFonts w:ascii="Microsoft Yahei" w:eastAsia="宋体" w:hAnsi="Microsoft Yahei" w:cs="宋体"/>
                <w:color w:val="000000"/>
                <w:kern w:val="0"/>
                <w:sz w:val="24"/>
                <w:szCs w:val="24"/>
              </w:rPr>
              <w:t>号）规定，按照《江苏省财政厅关于进一步加强省级涉企专项资金管理的意见》（苏财规〔</w:t>
            </w:r>
            <w:r w:rsidRPr="007938B1">
              <w:rPr>
                <w:rFonts w:ascii="Microsoft Yahei" w:eastAsia="宋体" w:hAnsi="Microsoft Yahei" w:cs="宋体"/>
                <w:color w:val="000000"/>
                <w:kern w:val="0"/>
                <w:sz w:val="24"/>
                <w:szCs w:val="24"/>
              </w:rPr>
              <w:t>2016</w:t>
            </w:r>
            <w:r w:rsidRPr="007938B1">
              <w:rPr>
                <w:rFonts w:ascii="Microsoft Yahei" w:eastAsia="宋体" w:hAnsi="Microsoft Yahei" w:cs="宋体"/>
                <w:color w:val="000000"/>
                <w:kern w:val="0"/>
                <w:sz w:val="24"/>
                <w:szCs w:val="24"/>
              </w:rPr>
              <w:t>〕</w:t>
            </w:r>
            <w:r w:rsidRPr="007938B1">
              <w:rPr>
                <w:rFonts w:ascii="Microsoft Yahei" w:eastAsia="宋体" w:hAnsi="Microsoft Yahei" w:cs="宋体"/>
                <w:color w:val="000000"/>
                <w:kern w:val="0"/>
                <w:sz w:val="24"/>
                <w:szCs w:val="24"/>
              </w:rPr>
              <w:t>83</w:t>
            </w:r>
            <w:r w:rsidRPr="007938B1">
              <w:rPr>
                <w:rFonts w:ascii="Microsoft Yahei" w:eastAsia="宋体" w:hAnsi="Microsoft Yahei" w:cs="宋体"/>
                <w:color w:val="000000"/>
                <w:kern w:val="0"/>
                <w:sz w:val="24"/>
                <w:szCs w:val="24"/>
              </w:rPr>
              <w:t>号）要求，结合我市实际，制定本实施细则。</w:t>
            </w:r>
          </w:p>
          <w:p w:rsidR="007938B1" w:rsidRPr="007938B1" w:rsidRDefault="007938B1" w:rsidP="007938B1">
            <w:pPr>
              <w:widowControl/>
              <w:spacing w:line="55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第二条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本实施细则所称的切块资金是指省级商务发展专项资金中切块下达我市的服务外包专项资金。</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第三条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切块资金的使用管理，应遵循</w:t>
            </w:r>
            <w:r w:rsidRPr="007938B1">
              <w:rPr>
                <w:rFonts w:ascii="Microsoft Yahei" w:eastAsia="宋体" w:hAnsi="Microsoft Yahei" w:cs="宋体"/>
                <w:color w:val="000000"/>
                <w:kern w:val="0"/>
                <w:sz w:val="24"/>
                <w:szCs w:val="24"/>
              </w:rPr>
              <w:t>“</w:t>
            </w:r>
            <w:r w:rsidRPr="007938B1">
              <w:rPr>
                <w:rFonts w:ascii="Microsoft Yahei" w:eastAsia="宋体" w:hAnsi="Microsoft Yahei" w:cs="宋体"/>
                <w:color w:val="000000"/>
                <w:kern w:val="0"/>
                <w:sz w:val="24"/>
                <w:szCs w:val="24"/>
              </w:rPr>
              <w:t>突出重点、科学论证、加强监督、专款专用</w:t>
            </w:r>
            <w:r w:rsidRPr="007938B1">
              <w:rPr>
                <w:rFonts w:ascii="Microsoft Yahei" w:eastAsia="宋体" w:hAnsi="Microsoft Yahei" w:cs="宋体"/>
                <w:color w:val="000000"/>
                <w:kern w:val="0"/>
                <w:sz w:val="24"/>
                <w:szCs w:val="24"/>
              </w:rPr>
              <w:t>”</w:t>
            </w:r>
            <w:r w:rsidRPr="007938B1">
              <w:rPr>
                <w:rFonts w:ascii="Microsoft Yahei" w:eastAsia="宋体" w:hAnsi="Microsoft Yahei" w:cs="宋体"/>
                <w:color w:val="000000"/>
                <w:kern w:val="0"/>
                <w:sz w:val="24"/>
                <w:szCs w:val="24"/>
              </w:rPr>
              <w:t>的原则，确保切块资金使用的安全、规范和高效。</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第四条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市商务局负责提出切块资金的支持方向和重点，制定切块资金的年度申报指南，组织项目申报和评审，提出切块资金使用建议方案，对项目实施情况进行绩效评价和监督。</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市财政局负责落实切块资金；参与切块资金项目评审；审核切块资金使用计划，按规定拨付切块资金；监督检查切块资金的使用情况，会同市商务局组织开展切块资金绩效评价。</w:t>
            </w:r>
          </w:p>
          <w:p w:rsidR="007938B1" w:rsidRPr="007938B1" w:rsidRDefault="007938B1" w:rsidP="007938B1">
            <w:pPr>
              <w:widowControl/>
              <w:spacing w:line="525" w:lineRule="atLeast"/>
              <w:ind w:firstLine="480"/>
              <w:jc w:val="center"/>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第二章</w:t>
            </w: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支持范围与方式</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第五条</w:t>
            </w: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支持范围</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（一）</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支持服务外包园区建设。支持服务外包园区基础设施、公共服务设施项目建设，支持载体吸引国内外知名服务外包企业集聚，鼓励服务外包园区申报省级服务外包特色园区。</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lastRenderedPageBreak/>
              <w:t>（二）</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支持我市我市服务外包企业开展离岸和在岸服务外包业务。</w:t>
            </w: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企业应同时符合以下条件：</w:t>
            </w:r>
            <w:r w:rsidRPr="007938B1">
              <w:rPr>
                <w:rFonts w:ascii="Microsoft Yahei" w:eastAsia="宋体" w:hAnsi="Microsoft Yahei" w:cs="宋体"/>
                <w:color w:val="000000"/>
                <w:kern w:val="0"/>
                <w:sz w:val="24"/>
                <w:szCs w:val="24"/>
              </w:rPr>
              <w:t> </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1. </w:t>
            </w:r>
            <w:r w:rsidRPr="007938B1">
              <w:rPr>
                <w:rFonts w:ascii="Microsoft Yahei" w:eastAsia="宋体" w:hAnsi="Microsoft Yahei" w:cs="宋体"/>
                <w:color w:val="000000"/>
                <w:kern w:val="0"/>
                <w:sz w:val="24"/>
                <w:szCs w:val="24"/>
              </w:rPr>
              <w:t>服务外包企业必须在连云港市市区内注册，具有独立的法人资格和健全的财务管理机构和制度；</w:t>
            </w:r>
            <w:r w:rsidRPr="007938B1">
              <w:rPr>
                <w:rFonts w:ascii="Microsoft Yahei" w:eastAsia="宋体" w:hAnsi="Microsoft Yahei" w:cs="宋体"/>
                <w:color w:val="000000"/>
                <w:kern w:val="0"/>
                <w:sz w:val="24"/>
                <w:szCs w:val="24"/>
              </w:rPr>
              <w:t> </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2. </w:t>
            </w:r>
            <w:r w:rsidRPr="007938B1">
              <w:rPr>
                <w:rFonts w:ascii="Microsoft Yahei" w:eastAsia="宋体" w:hAnsi="Microsoft Yahei" w:cs="宋体"/>
                <w:color w:val="000000"/>
                <w:kern w:val="0"/>
                <w:sz w:val="24"/>
                <w:szCs w:val="24"/>
              </w:rPr>
              <w:t>业务经营正常，近三年在财务管理、税务管理、外汇管理、海关管理等方面无违法行为；</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 xml:space="preserve">3.  </w:t>
            </w:r>
            <w:r w:rsidRPr="007938B1">
              <w:rPr>
                <w:rFonts w:ascii="Microsoft Yahei" w:eastAsia="宋体" w:hAnsi="Microsoft Yahei" w:cs="宋体"/>
                <w:color w:val="000000"/>
                <w:kern w:val="0"/>
                <w:sz w:val="24"/>
                <w:szCs w:val="24"/>
              </w:rPr>
              <w:t>在</w:t>
            </w:r>
            <w:r w:rsidRPr="007938B1">
              <w:rPr>
                <w:rFonts w:ascii="Microsoft Yahei" w:eastAsia="宋体" w:hAnsi="Microsoft Yahei" w:cs="宋体"/>
                <w:color w:val="000000"/>
                <w:kern w:val="0"/>
                <w:sz w:val="24"/>
                <w:szCs w:val="24"/>
              </w:rPr>
              <w:t>“</w:t>
            </w:r>
            <w:r w:rsidRPr="007938B1">
              <w:rPr>
                <w:rFonts w:ascii="Microsoft Yahei" w:eastAsia="宋体" w:hAnsi="Microsoft Yahei" w:cs="宋体"/>
                <w:color w:val="000000"/>
                <w:kern w:val="0"/>
                <w:sz w:val="24"/>
                <w:szCs w:val="24"/>
              </w:rPr>
              <w:t>商务部业务系统统一平台（服务外包及软件出口信息管理应用系统）</w:t>
            </w:r>
            <w:r w:rsidRPr="007938B1">
              <w:rPr>
                <w:rFonts w:ascii="Microsoft Yahei" w:eastAsia="宋体" w:hAnsi="Microsoft Yahei" w:cs="宋体"/>
                <w:color w:val="000000"/>
                <w:kern w:val="0"/>
                <w:sz w:val="24"/>
                <w:szCs w:val="24"/>
              </w:rPr>
              <w:t>”</w:t>
            </w:r>
            <w:r w:rsidRPr="007938B1">
              <w:rPr>
                <w:rFonts w:ascii="Microsoft Yahei" w:eastAsia="宋体" w:hAnsi="Microsoft Yahei" w:cs="宋体"/>
                <w:color w:val="000000"/>
                <w:kern w:val="0"/>
                <w:sz w:val="24"/>
                <w:szCs w:val="24"/>
              </w:rPr>
              <w:t>完成注册登记并如实填报数据。</w:t>
            </w:r>
            <w:r w:rsidRPr="007938B1">
              <w:rPr>
                <w:rFonts w:ascii="Microsoft Yahei" w:eastAsia="宋体" w:hAnsi="Microsoft Yahei" w:cs="宋体"/>
                <w:color w:val="000000"/>
                <w:kern w:val="0"/>
                <w:sz w:val="24"/>
                <w:szCs w:val="24"/>
              </w:rPr>
              <w:t> </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第六条</w:t>
            </w: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切块资金采取奖补等方式对项目单位进行支持。</w:t>
            </w:r>
          </w:p>
          <w:p w:rsidR="007938B1" w:rsidRPr="007938B1" w:rsidRDefault="007938B1" w:rsidP="007938B1">
            <w:pPr>
              <w:widowControl/>
              <w:spacing w:line="525" w:lineRule="atLeast"/>
              <w:ind w:firstLine="480"/>
              <w:jc w:val="center"/>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第三章</w:t>
            </w: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项目申报、审批和拨付</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第七条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市商务局、市财政局根据本办法规定，结合年度我市服务外包发展情况和预算安排情况等，制定切块资金年度项目申报指南，明确切块资金申报对象、扶持范围、分配方式及项目申报的具体要求等。</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第八条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切块资金的申报按照属地划分原则，由符合切块资金申请条件的单位（企业）将申请资料向当地（区、功能板块）商务主管部门、财政部门报送，并提交《财政切块资金项目申报信用承诺书》。</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第九条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申报单位（企业）对其申报资料的真实性负责。各地商务部门、财政部门负责审核申报项目单位的资格、材料的真实性和完整性，审核无误后联合行文上报市商务局和市财政局。</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第十条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市商务局、市财政局组织第三方专业机构对申报项目进行专项审计。市商务局根据审计结果和当年资金规模提出资金分配计划，拟定补助项目。拟补助项目在网上公示无异议后，按国库集中支付有关要求下达资金。</w:t>
            </w:r>
          </w:p>
          <w:p w:rsidR="007938B1" w:rsidRPr="007938B1" w:rsidRDefault="007938B1" w:rsidP="007938B1">
            <w:pPr>
              <w:widowControl/>
              <w:spacing w:line="525" w:lineRule="atLeast"/>
              <w:ind w:firstLine="480"/>
              <w:jc w:val="center"/>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第四章</w:t>
            </w: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绩效评价与监督管理</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lastRenderedPageBreak/>
              <w:t>第十一条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切块资金使用管理的全过程自觉接受市纪委、监委派驻纪检监察组监督。</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第十二条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建立绩效评价机制。市商务局、市财政局依据省商务厅、省财政厅关于开展省级服务外包资金绩效评价的相关规定，对项目资金使用情况进行绩效评价。</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第十三条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加强切块资金监督管理。市商务局、市财政局应加强对切块资金管理使用情况的日常监督检查与绩效评价。申报主体对申报材料弄虚作假、在资金实际使用过程中违反规定擅自改变资金用途以及虚报、冒领、截留、挪用、挤占切块资金的，由市财政局、市商务局按规定责令改正、调整有关会计账目，追回有关财政资金，限期追缴违法所得；情节严重的，在一至三年内不再受理其申报切块资金，并按照国家有关规定追究法律责任。</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第十四条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国家机关工作人员在切块资金管理活动中滥用职权、玩忽职守、徇私舞弊的，依法追究行政责任；构成犯罪的，依法追究刑事责任。</w:t>
            </w:r>
            <w:r w:rsidRPr="007938B1">
              <w:rPr>
                <w:rFonts w:ascii="Microsoft Yahei" w:eastAsia="宋体" w:hAnsi="Microsoft Yahei" w:cs="宋体"/>
                <w:color w:val="000000"/>
                <w:kern w:val="0"/>
                <w:sz w:val="24"/>
                <w:szCs w:val="24"/>
              </w:rPr>
              <w:t> </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第十五条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项目单位应当配合商务、财政部门对项目完成情况进行检查，如实反映情况和提供必要的材料，不得拒绝、阻挠和拖延。</w:t>
            </w:r>
          </w:p>
          <w:p w:rsidR="007938B1" w:rsidRPr="007938B1" w:rsidRDefault="007938B1" w:rsidP="007938B1">
            <w:pPr>
              <w:widowControl/>
              <w:spacing w:line="525" w:lineRule="atLeast"/>
              <w:jc w:val="center"/>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第五章</w:t>
            </w:r>
            <w:r w:rsidRPr="007938B1">
              <w:rPr>
                <w:rFonts w:ascii="Microsoft Yahei" w:eastAsia="宋体" w:hAnsi="Microsoft Yahei" w:cs="宋体"/>
                <w:color w:val="000000"/>
                <w:kern w:val="0"/>
                <w:sz w:val="24"/>
                <w:szCs w:val="24"/>
              </w:rPr>
              <w:t>  </w:t>
            </w:r>
            <w:r w:rsidRPr="007938B1">
              <w:rPr>
                <w:rFonts w:ascii="Microsoft Yahei" w:eastAsia="宋体" w:hAnsi="Microsoft Yahei" w:cs="宋体"/>
                <w:color w:val="000000"/>
                <w:kern w:val="0"/>
                <w:sz w:val="24"/>
                <w:szCs w:val="24"/>
              </w:rPr>
              <w:t>附则</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第十六条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本办法由市商务局会同市财政局负责解释。</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第十七条</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本实施细则自</w:t>
            </w:r>
            <w:r w:rsidRPr="007938B1">
              <w:rPr>
                <w:rFonts w:ascii="Microsoft Yahei" w:eastAsia="宋体" w:hAnsi="Microsoft Yahei" w:cs="宋体"/>
                <w:color w:val="000000"/>
                <w:kern w:val="0"/>
                <w:sz w:val="24"/>
                <w:szCs w:val="24"/>
              </w:rPr>
              <w:t>2018</w:t>
            </w:r>
            <w:r w:rsidRPr="007938B1">
              <w:rPr>
                <w:rFonts w:ascii="Microsoft Yahei" w:eastAsia="宋体" w:hAnsi="Microsoft Yahei" w:cs="宋体"/>
                <w:color w:val="000000"/>
                <w:kern w:val="0"/>
                <w:sz w:val="24"/>
                <w:szCs w:val="24"/>
              </w:rPr>
              <w:t>年</w:t>
            </w:r>
            <w:r w:rsidRPr="007938B1">
              <w:rPr>
                <w:rFonts w:ascii="Microsoft Yahei" w:eastAsia="宋体" w:hAnsi="Microsoft Yahei" w:cs="宋体"/>
                <w:color w:val="000000"/>
                <w:kern w:val="0"/>
                <w:sz w:val="24"/>
                <w:szCs w:val="24"/>
              </w:rPr>
              <w:t>11</w:t>
            </w:r>
            <w:r w:rsidRPr="007938B1">
              <w:rPr>
                <w:rFonts w:ascii="Microsoft Yahei" w:eastAsia="宋体" w:hAnsi="Microsoft Yahei" w:cs="宋体"/>
                <w:color w:val="000000"/>
                <w:kern w:val="0"/>
                <w:sz w:val="24"/>
                <w:szCs w:val="24"/>
              </w:rPr>
              <w:t>月</w:t>
            </w:r>
            <w:r w:rsidRPr="007938B1">
              <w:rPr>
                <w:rFonts w:ascii="Microsoft Yahei" w:eastAsia="宋体" w:hAnsi="Microsoft Yahei" w:cs="宋体"/>
                <w:color w:val="000000"/>
                <w:kern w:val="0"/>
                <w:sz w:val="24"/>
                <w:szCs w:val="24"/>
              </w:rPr>
              <w:t>13</w:t>
            </w:r>
            <w:r w:rsidRPr="007938B1">
              <w:rPr>
                <w:rFonts w:ascii="Microsoft Yahei" w:eastAsia="宋体" w:hAnsi="Microsoft Yahei" w:cs="宋体"/>
                <w:color w:val="000000"/>
                <w:kern w:val="0"/>
                <w:sz w:val="24"/>
                <w:szCs w:val="24"/>
              </w:rPr>
              <w:t>日起施行，有效期暂定三年。国家、省、市出台新规定的，按新规定执行。</w:t>
            </w:r>
          </w:p>
          <w:p w:rsidR="007938B1" w:rsidRPr="007938B1" w:rsidRDefault="007938B1" w:rsidP="007938B1">
            <w:pPr>
              <w:widowControl/>
              <w:spacing w:line="525" w:lineRule="atLeast"/>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 </w:t>
            </w:r>
          </w:p>
          <w:p w:rsidR="007938B1" w:rsidRPr="007938B1" w:rsidRDefault="007938B1" w:rsidP="007938B1">
            <w:pPr>
              <w:widowControl/>
              <w:spacing w:line="525"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连云港市商务局</w:t>
            </w:r>
            <w:r w:rsidRPr="007938B1">
              <w:rPr>
                <w:rFonts w:ascii="Microsoft Yahei" w:eastAsia="宋体" w:hAnsi="Microsoft Yahei" w:cs="宋体"/>
                <w:color w:val="000000"/>
                <w:kern w:val="0"/>
                <w:sz w:val="24"/>
                <w:szCs w:val="24"/>
              </w:rPr>
              <w:t xml:space="preserve">                      </w:t>
            </w:r>
            <w:r w:rsidRPr="007938B1">
              <w:rPr>
                <w:rFonts w:ascii="Microsoft Yahei" w:eastAsia="宋体" w:hAnsi="Microsoft Yahei" w:cs="宋体"/>
                <w:color w:val="000000"/>
                <w:kern w:val="0"/>
                <w:sz w:val="24"/>
                <w:szCs w:val="24"/>
              </w:rPr>
              <w:t>连云港市财政局</w:t>
            </w:r>
          </w:p>
          <w:p w:rsidR="007938B1" w:rsidRPr="007938B1" w:rsidRDefault="007938B1" w:rsidP="007938B1">
            <w:pPr>
              <w:widowControl/>
              <w:spacing w:line="525" w:lineRule="atLeast"/>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 </w:t>
            </w:r>
          </w:p>
          <w:p w:rsidR="007938B1" w:rsidRPr="007938B1" w:rsidRDefault="007938B1" w:rsidP="007938B1">
            <w:pPr>
              <w:widowControl/>
              <w:spacing w:line="420" w:lineRule="atLeast"/>
              <w:ind w:firstLine="480"/>
              <w:jc w:val="left"/>
              <w:rPr>
                <w:rFonts w:ascii="Microsoft Yahei" w:eastAsia="宋体" w:hAnsi="Microsoft Yahei" w:cs="宋体"/>
                <w:color w:val="000000"/>
                <w:kern w:val="0"/>
                <w:sz w:val="24"/>
                <w:szCs w:val="24"/>
              </w:rPr>
            </w:pPr>
            <w:r w:rsidRPr="007938B1">
              <w:rPr>
                <w:rFonts w:ascii="Microsoft Yahei" w:eastAsia="宋体" w:hAnsi="Microsoft Yahei" w:cs="宋体"/>
                <w:color w:val="000000"/>
                <w:kern w:val="0"/>
                <w:sz w:val="24"/>
                <w:szCs w:val="24"/>
              </w:rPr>
              <w:t>2018</w:t>
            </w:r>
            <w:r w:rsidRPr="007938B1">
              <w:rPr>
                <w:rFonts w:ascii="Microsoft Yahei" w:eastAsia="宋体" w:hAnsi="Microsoft Yahei" w:cs="宋体"/>
                <w:color w:val="000000"/>
                <w:kern w:val="0"/>
                <w:sz w:val="24"/>
                <w:szCs w:val="24"/>
              </w:rPr>
              <w:t>年</w:t>
            </w:r>
            <w:r w:rsidRPr="007938B1">
              <w:rPr>
                <w:rFonts w:ascii="Microsoft Yahei" w:eastAsia="宋体" w:hAnsi="Microsoft Yahei" w:cs="宋体"/>
                <w:color w:val="000000"/>
                <w:kern w:val="0"/>
                <w:sz w:val="24"/>
                <w:szCs w:val="24"/>
              </w:rPr>
              <w:t>11</w:t>
            </w:r>
            <w:r w:rsidRPr="007938B1">
              <w:rPr>
                <w:rFonts w:ascii="Microsoft Yahei" w:eastAsia="宋体" w:hAnsi="Microsoft Yahei" w:cs="宋体"/>
                <w:color w:val="000000"/>
                <w:kern w:val="0"/>
                <w:sz w:val="24"/>
                <w:szCs w:val="24"/>
              </w:rPr>
              <w:t>月</w:t>
            </w:r>
            <w:r w:rsidRPr="007938B1">
              <w:rPr>
                <w:rFonts w:ascii="Microsoft Yahei" w:eastAsia="宋体" w:hAnsi="Microsoft Yahei" w:cs="宋体"/>
                <w:color w:val="000000"/>
                <w:kern w:val="0"/>
                <w:sz w:val="24"/>
                <w:szCs w:val="24"/>
              </w:rPr>
              <w:t>13</w:t>
            </w:r>
            <w:r w:rsidRPr="007938B1">
              <w:rPr>
                <w:rFonts w:ascii="Microsoft Yahei" w:eastAsia="宋体" w:hAnsi="Microsoft Yahei" w:cs="宋体"/>
                <w:color w:val="000000"/>
                <w:kern w:val="0"/>
                <w:sz w:val="24"/>
                <w:szCs w:val="24"/>
              </w:rPr>
              <w:t>日</w:t>
            </w:r>
            <w:r w:rsidRPr="007938B1">
              <w:rPr>
                <w:rFonts w:ascii="Microsoft Yahei" w:eastAsia="宋体" w:hAnsi="Microsoft Yahei" w:cs="宋体"/>
                <w:color w:val="000000"/>
                <w:kern w:val="0"/>
                <w:sz w:val="24"/>
                <w:szCs w:val="24"/>
              </w:rPr>
              <w:t xml:space="preserve">  </w:t>
            </w:r>
          </w:p>
        </w:tc>
      </w:tr>
    </w:tbl>
    <w:p w:rsidR="00385DA9" w:rsidRDefault="00385DA9">
      <w:bookmarkStart w:id="0" w:name="_GoBack"/>
      <w:bookmarkEnd w:id="0"/>
    </w:p>
    <w:sectPr w:rsidR="00385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9D"/>
    <w:rsid w:val="00383A9D"/>
    <w:rsid w:val="00385DA9"/>
    <w:rsid w:val="0079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C5A55-5319-40CD-880D-957D990B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38B1"/>
    <w:rPr>
      <w:color w:val="0000FF"/>
      <w:u w:val="single"/>
    </w:rPr>
  </w:style>
  <w:style w:type="paragraph" w:styleId="a4">
    <w:name w:val="Normal (Web)"/>
    <w:basedOn w:val="a"/>
    <w:uiPriority w:val="99"/>
    <w:semiHidden/>
    <w:unhideWhenUsed/>
    <w:rsid w:val="007938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827712">
      <w:bodyDiv w:val="1"/>
      <w:marLeft w:val="0"/>
      <w:marRight w:val="0"/>
      <w:marTop w:val="0"/>
      <w:marBottom w:val="0"/>
      <w:divBdr>
        <w:top w:val="none" w:sz="0" w:space="0" w:color="auto"/>
        <w:left w:val="none" w:sz="0" w:space="0" w:color="auto"/>
        <w:bottom w:val="none" w:sz="0" w:space="0" w:color="auto"/>
        <w:right w:val="none" w:sz="0" w:space="0" w:color="auto"/>
      </w:divBdr>
      <w:divsChild>
        <w:div w:id="1803039187">
          <w:marLeft w:val="300"/>
          <w:marRight w:val="300"/>
          <w:marTop w:val="0"/>
          <w:marBottom w:val="0"/>
          <w:divBdr>
            <w:top w:val="none" w:sz="0" w:space="0" w:color="auto"/>
            <w:left w:val="none" w:sz="0" w:space="0" w:color="auto"/>
            <w:bottom w:val="none" w:sz="0" w:space="0" w:color="auto"/>
            <w:right w:val="none" w:sz="0" w:space="0" w:color="auto"/>
          </w:divBdr>
        </w:div>
        <w:div w:id="14404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hyperlink" Target="javascript:doZoom(18)" TargetMode="External"/><Relationship Id="rId4" Type="http://schemas.openxmlformats.org/officeDocument/2006/relationships/hyperlink" Target="javascript:doZo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1898</Characters>
  <Application>Microsoft Office Word</Application>
  <DocSecurity>0</DocSecurity>
  <Lines>15</Lines>
  <Paragraphs>4</Paragraphs>
  <ScaleCrop>false</ScaleCrop>
  <Company>微软中国</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2018-11-29T02:06:00Z</dcterms:created>
  <dcterms:modified xsi:type="dcterms:W3CDTF">2018-11-29T02:06:00Z</dcterms:modified>
</cp:coreProperties>
</file>