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6F6F6">
    <v:background id="_x0000_s1025" o:bwmode="white" fillcolor="#f6f6f6">
      <v:fill r:id="rId3" type="tile"/>
    </v:background>
  </w:background>
  <w:body>
    <w:p w:rsidR="00000000" w:rsidRDefault="000833C1">
      <w:pPr>
        <w:shd w:val="clear" w:color="auto" w:fill="FFFFFF"/>
        <w:spacing w:before="144" w:after="144"/>
        <w:ind w:firstLine="480"/>
        <w:jc w:val="center"/>
        <w:divId w:val="1542667200"/>
        <w:rPr>
          <w:rFonts w:hint="eastAsia"/>
          <w:color w:val="333333"/>
        </w:rPr>
      </w:pPr>
      <w:r>
        <w:rPr>
          <w:rStyle w:val="a5"/>
          <w:rFonts w:hint="eastAsia"/>
          <w:color w:val="333333"/>
          <w:sz w:val="32"/>
          <w:szCs w:val="32"/>
        </w:rPr>
        <w:t>汕头市总部企业认定办法</w:t>
      </w:r>
    </w:p>
    <w:p w:rsidR="00000000" w:rsidRDefault="000833C1">
      <w:pPr>
        <w:shd w:val="clear" w:color="auto" w:fill="FFFFFF"/>
        <w:spacing w:before="144" w:after="144"/>
        <w:ind w:firstLine="480"/>
        <w:divId w:val="1542667200"/>
        <w:rPr>
          <w:rFonts w:hint="eastAsia"/>
          <w:color w:val="333333"/>
        </w:rPr>
      </w:pPr>
      <w:r>
        <w:rPr>
          <w:rFonts w:hint="eastAsia"/>
          <w:color w:val="333333"/>
        </w:rPr>
        <w:t> </w:t>
      </w:r>
    </w:p>
    <w:p w:rsidR="00000000" w:rsidRDefault="000833C1">
      <w:pPr>
        <w:shd w:val="clear" w:color="auto" w:fill="FFFFFF"/>
        <w:spacing w:before="144" w:after="144"/>
        <w:ind w:firstLine="480"/>
        <w:jc w:val="center"/>
        <w:divId w:val="1542667200"/>
        <w:rPr>
          <w:rFonts w:hint="eastAsia"/>
          <w:color w:val="333333"/>
        </w:rPr>
      </w:pPr>
      <w:r>
        <w:rPr>
          <w:rStyle w:val="a5"/>
          <w:rFonts w:hint="eastAsia"/>
          <w:color w:val="333333"/>
        </w:rPr>
        <w:t>第一章　总　则</w:t>
      </w:r>
    </w:p>
    <w:p w:rsidR="00000000" w:rsidRDefault="000833C1">
      <w:pPr>
        <w:shd w:val="clear" w:color="auto" w:fill="FFFFFF"/>
        <w:spacing w:before="144" w:after="144"/>
        <w:ind w:firstLine="480"/>
        <w:divId w:val="1542667200"/>
        <w:rPr>
          <w:rFonts w:hint="eastAsia"/>
          <w:color w:val="333333"/>
        </w:rPr>
      </w:pPr>
      <w:r>
        <w:rPr>
          <w:rFonts w:hint="eastAsia"/>
          <w:color w:val="333333"/>
        </w:rPr>
        <w:t>一、为贯彻落实《汕头市加快总部经济发展的若干意见》（以下简称《意见》），规范总部企业认定和管理工作，制定本办法。</w:t>
      </w:r>
    </w:p>
    <w:p w:rsidR="00000000" w:rsidRDefault="000833C1">
      <w:pPr>
        <w:shd w:val="clear" w:color="auto" w:fill="FFFFFF"/>
        <w:spacing w:before="144" w:after="144"/>
        <w:ind w:firstLine="480"/>
        <w:divId w:val="1542667200"/>
        <w:rPr>
          <w:rFonts w:hint="eastAsia"/>
          <w:color w:val="333333"/>
        </w:rPr>
      </w:pPr>
      <w:r>
        <w:rPr>
          <w:rFonts w:hint="eastAsia"/>
          <w:color w:val="333333"/>
        </w:rPr>
        <w:t xml:space="preserve">二、总部企业认定坚持“公开、公平、公正”的原则，实行企业自愿申请、社会公示、政府审核、动态评估等制度。　</w:t>
      </w:r>
    </w:p>
    <w:p w:rsidR="00000000" w:rsidRDefault="000833C1">
      <w:pPr>
        <w:shd w:val="clear" w:color="auto" w:fill="FFFFFF"/>
        <w:spacing w:before="144" w:after="144"/>
        <w:ind w:firstLine="480"/>
        <w:jc w:val="center"/>
        <w:divId w:val="1542667200"/>
        <w:rPr>
          <w:rFonts w:hint="eastAsia"/>
          <w:color w:val="333333"/>
        </w:rPr>
      </w:pPr>
      <w:r>
        <w:rPr>
          <w:rStyle w:val="a5"/>
          <w:rFonts w:hint="eastAsia"/>
          <w:color w:val="333333"/>
        </w:rPr>
        <w:lastRenderedPageBreak/>
        <w:t>第二章　总部企业认定范围及标准</w:t>
      </w:r>
    </w:p>
    <w:p w:rsidR="00000000" w:rsidRDefault="000833C1">
      <w:pPr>
        <w:shd w:val="clear" w:color="auto" w:fill="FFFFFF"/>
        <w:spacing w:before="144" w:after="144"/>
        <w:ind w:firstLine="480"/>
        <w:divId w:val="1542667200"/>
        <w:rPr>
          <w:rFonts w:hint="eastAsia"/>
          <w:color w:val="333333"/>
        </w:rPr>
      </w:pPr>
      <w:r>
        <w:rPr>
          <w:rFonts w:hint="eastAsia"/>
          <w:color w:val="333333"/>
        </w:rPr>
        <w:t>三、本办法所认定的汕头市总部企业，是指符合汕头市产业发展政策，注册地在汕头市（含区县，下同），具有独立企业法人资格、独立核算，依法开展经营活动，并在我市（合并）汇总缴纳企业所得税的企业（包括我市现有企业和新设立</w:t>
      </w:r>
      <w:r>
        <w:rPr>
          <w:rFonts w:hint="eastAsia"/>
          <w:color w:val="333333"/>
        </w:rPr>
        <w:t>的企业）。</w:t>
      </w:r>
    </w:p>
    <w:p w:rsidR="00000000" w:rsidRDefault="000833C1">
      <w:pPr>
        <w:shd w:val="clear" w:color="auto" w:fill="FFFFFF"/>
        <w:spacing w:before="144" w:after="144"/>
        <w:ind w:firstLine="480"/>
        <w:divId w:val="1542667200"/>
        <w:rPr>
          <w:rFonts w:hint="eastAsia"/>
          <w:color w:val="333333"/>
        </w:rPr>
      </w:pPr>
      <w:r>
        <w:rPr>
          <w:rFonts w:hint="eastAsia"/>
          <w:color w:val="333333"/>
        </w:rPr>
        <w:t>四、我市现有企业符合以下任</w:t>
      </w:r>
      <w:proofErr w:type="gramStart"/>
      <w:r>
        <w:rPr>
          <w:rFonts w:hint="eastAsia"/>
          <w:color w:val="333333"/>
        </w:rPr>
        <w:t>一</w:t>
      </w:r>
      <w:proofErr w:type="gramEnd"/>
      <w:r>
        <w:rPr>
          <w:rFonts w:hint="eastAsia"/>
          <w:color w:val="333333"/>
        </w:rPr>
        <w:t>条款，可认定为总部企业：</w:t>
      </w:r>
    </w:p>
    <w:p w:rsidR="00000000" w:rsidRDefault="000833C1">
      <w:pPr>
        <w:shd w:val="clear" w:color="auto" w:fill="FFFFFF"/>
        <w:spacing w:before="144" w:after="144"/>
        <w:ind w:firstLine="480"/>
        <w:divId w:val="1542667200"/>
        <w:rPr>
          <w:rFonts w:hint="eastAsia"/>
          <w:color w:val="333333"/>
        </w:rPr>
      </w:pPr>
      <w:r>
        <w:rPr>
          <w:rFonts w:hint="eastAsia"/>
          <w:color w:val="333333"/>
        </w:rPr>
        <w:t>（一）荣膺中国驰名商标（国家工商总局认定）的企业。</w:t>
      </w:r>
    </w:p>
    <w:p w:rsidR="00000000" w:rsidRDefault="000833C1">
      <w:pPr>
        <w:shd w:val="clear" w:color="auto" w:fill="FFFFFF"/>
        <w:spacing w:before="144" w:after="144"/>
        <w:ind w:firstLine="480"/>
        <w:divId w:val="1542667200"/>
        <w:rPr>
          <w:rFonts w:hint="eastAsia"/>
          <w:color w:val="333333"/>
        </w:rPr>
      </w:pPr>
      <w:r>
        <w:rPr>
          <w:rFonts w:hint="eastAsia"/>
          <w:color w:val="333333"/>
        </w:rPr>
        <w:t>（二）上市公司。</w:t>
      </w:r>
    </w:p>
    <w:p w:rsidR="00000000" w:rsidRDefault="000833C1">
      <w:pPr>
        <w:shd w:val="clear" w:color="auto" w:fill="FFFFFF"/>
        <w:spacing w:before="144" w:after="144"/>
        <w:ind w:firstLine="480"/>
        <w:divId w:val="1542667200"/>
        <w:rPr>
          <w:rFonts w:hint="eastAsia"/>
          <w:color w:val="333333"/>
        </w:rPr>
      </w:pPr>
      <w:r>
        <w:rPr>
          <w:rFonts w:hint="eastAsia"/>
          <w:color w:val="333333"/>
        </w:rPr>
        <w:t>（三）世界</w:t>
      </w:r>
      <w:r>
        <w:rPr>
          <w:rFonts w:hint="eastAsia"/>
          <w:color w:val="333333"/>
        </w:rPr>
        <w:t>500</w:t>
      </w:r>
      <w:r>
        <w:rPr>
          <w:rFonts w:hint="eastAsia"/>
          <w:color w:val="333333"/>
        </w:rPr>
        <w:t>强、中国</w:t>
      </w:r>
      <w:r>
        <w:rPr>
          <w:rFonts w:hint="eastAsia"/>
          <w:color w:val="333333"/>
        </w:rPr>
        <w:t>500</w:t>
      </w:r>
      <w:r>
        <w:rPr>
          <w:rFonts w:hint="eastAsia"/>
          <w:color w:val="333333"/>
        </w:rPr>
        <w:t>强企业、中央直管企业或其核心营运机构或具有总部性质的职能机构，符合以下条件之一，可同意其进行申报：</w:t>
      </w:r>
    </w:p>
    <w:p w:rsidR="00000000" w:rsidRDefault="000833C1">
      <w:pPr>
        <w:shd w:val="clear" w:color="auto" w:fill="FFFFFF"/>
        <w:spacing w:before="144" w:after="144"/>
        <w:ind w:firstLine="480"/>
        <w:divId w:val="1542667200"/>
        <w:rPr>
          <w:rFonts w:hint="eastAsia"/>
          <w:color w:val="333333"/>
        </w:rPr>
      </w:pPr>
      <w:r>
        <w:rPr>
          <w:rFonts w:hint="eastAsia"/>
          <w:color w:val="333333"/>
        </w:rPr>
        <w:t>1</w:t>
      </w:r>
      <w:r>
        <w:rPr>
          <w:rFonts w:hint="eastAsia"/>
          <w:color w:val="333333"/>
        </w:rPr>
        <w:t>．世界</w:t>
      </w:r>
      <w:r>
        <w:rPr>
          <w:rFonts w:hint="eastAsia"/>
          <w:color w:val="333333"/>
        </w:rPr>
        <w:t>500</w:t>
      </w:r>
      <w:r>
        <w:rPr>
          <w:rFonts w:hint="eastAsia"/>
          <w:color w:val="333333"/>
        </w:rPr>
        <w:t>强、中国</w:t>
      </w:r>
      <w:r>
        <w:rPr>
          <w:rFonts w:hint="eastAsia"/>
          <w:color w:val="333333"/>
        </w:rPr>
        <w:t>500</w:t>
      </w:r>
      <w:r>
        <w:rPr>
          <w:rFonts w:hint="eastAsia"/>
          <w:color w:val="333333"/>
        </w:rPr>
        <w:t>强企业、中央直管企业在汕头注册设立（股份占</w:t>
      </w:r>
      <w:r>
        <w:rPr>
          <w:rFonts w:hint="eastAsia"/>
          <w:color w:val="333333"/>
        </w:rPr>
        <w:t>50</w:t>
      </w:r>
      <w:r>
        <w:rPr>
          <w:rFonts w:hint="eastAsia"/>
          <w:color w:val="333333"/>
        </w:rPr>
        <w:t>％及以上）、且具有粤东区域以上（含粤东区域）总部性质的职能机构；</w:t>
      </w:r>
    </w:p>
    <w:p w:rsidR="00000000" w:rsidRDefault="000833C1">
      <w:pPr>
        <w:shd w:val="clear" w:color="auto" w:fill="FFFFFF"/>
        <w:spacing w:before="144" w:after="144"/>
        <w:ind w:firstLine="480"/>
        <w:divId w:val="1542667200"/>
        <w:rPr>
          <w:rFonts w:hint="eastAsia"/>
          <w:color w:val="333333"/>
        </w:rPr>
      </w:pPr>
      <w:r>
        <w:rPr>
          <w:rFonts w:hint="eastAsia"/>
          <w:color w:val="333333"/>
        </w:rPr>
        <w:t>2</w:t>
      </w:r>
      <w:r>
        <w:rPr>
          <w:rFonts w:hint="eastAsia"/>
          <w:color w:val="333333"/>
        </w:rPr>
        <w:t>．世界</w:t>
      </w:r>
      <w:r>
        <w:rPr>
          <w:rFonts w:hint="eastAsia"/>
          <w:color w:val="333333"/>
        </w:rPr>
        <w:t>500</w:t>
      </w:r>
      <w:r>
        <w:rPr>
          <w:rFonts w:hint="eastAsia"/>
          <w:color w:val="333333"/>
        </w:rPr>
        <w:t>强、中国</w:t>
      </w:r>
      <w:r>
        <w:rPr>
          <w:rFonts w:hint="eastAsia"/>
          <w:color w:val="333333"/>
        </w:rPr>
        <w:t>500</w:t>
      </w:r>
      <w:r>
        <w:rPr>
          <w:rFonts w:hint="eastAsia"/>
          <w:color w:val="333333"/>
        </w:rPr>
        <w:t>强企业、中央直管企业与汕头市人民政府签订战略合作（框架）协议，协议指定的汕头承</w:t>
      </w:r>
      <w:r>
        <w:rPr>
          <w:rFonts w:hint="eastAsia"/>
          <w:color w:val="333333"/>
        </w:rPr>
        <w:t>担企业。</w:t>
      </w:r>
    </w:p>
    <w:p w:rsidR="00000000" w:rsidRDefault="000833C1">
      <w:pPr>
        <w:shd w:val="clear" w:color="auto" w:fill="FFFFFF"/>
        <w:spacing w:before="144" w:after="144"/>
        <w:ind w:firstLine="480"/>
        <w:divId w:val="1542667200"/>
        <w:rPr>
          <w:rFonts w:hint="eastAsia"/>
          <w:color w:val="333333"/>
        </w:rPr>
      </w:pPr>
      <w:r>
        <w:rPr>
          <w:rFonts w:hint="eastAsia"/>
          <w:color w:val="333333"/>
        </w:rPr>
        <w:t>（四）注册资金不低于</w:t>
      </w:r>
      <w:r>
        <w:rPr>
          <w:rFonts w:hint="eastAsia"/>
          <w:color w:val="333333"/>
        </w:rPr>
        <w:t>5000</w:t>
      </w:r>
      <w:r>
        <w:rPr>
          <w:rFonts w:hint="eastAsia"/>
          <w:color w:val="333333"/>
        </w:rPr>
        <w:t>万元（人民币、实缴资本，下同），上年度营业收入不低于</w:t>
      </w:r>
      <w:r>
        <w:rPr>
          <w:rFonts w:hint="eastAsia"/>
          <w:color w:val="333333"/>
        </w:rPr>
        <w:t>5</w:t>
      </w:r>
      <w:r>
        <w:rPr>
          <w:rFonts w:hint="eastAsia"/>
          <w:color w:val="333333"/>
        </w:rPr>
        <w:t>亿元、纳税额（缴入市、</w:t>
      </w:r>
      <w:proofErr w:type="gramStart"/>
      <w:r>
        <w:rPr>
          <w:rFonts w:hint="eastAsia"/>
          <w:color w:val="333333"/>
        </w:rPr>
        <w:t>区县级库的</w:t>
      </w:r>
      <w:proofErr w:type="gramEnd"/>
      <w:r>
        <w:rPr>
          <w:rFonts w:hint="eastAsia"/>
          <w:color w:val="333333"/>
        </w:rPr>
        <w:t>增值税、营业税、企业所得税税额合计，以上税种不含免抵调库税额、代扣代缴代征税额，企业所得税不含企业出售其所持上市公司限售股缴纳的税款。下同）不低于</w:t>
      </w:r>
      <w:r>
        <w:rPr>
          <w:rFonts w:hint="eastAsia"/>
          <w:color w:val="333333"/>
        </w:rPr>
        <w:t>800</w:t>
      </w:r>
      <w:r>
        <w:rPr>
          <w:rFonts w:hint="eastAsia"/>
          <w:color w:val="333333"/>
        </w:rPr>
        <w:t>万元的制造业企业。</w:t>
      </w:r>
    </w:p>
    <w:p w:rsidR="00000000" w:rsidRDefault="000833C1">
      <w:pPr>
        <w:shd w:val="clear" w:color="auto" w:fill="FFFFFF"/>
        <w:spacing w:before="144" w:after="144"/>
        <w:ind w:firstLine="480"/>
        <w:divId w:val="1542667200"/>
        <w:rPr>
          <w:rFonts w:hint="eastAsia"/>
          <w:color w:val="333333"/>
        </w:rPr>
      </w:pPr>
      <w:r>
        <w:rPr>
          <w:rFonts w:hint="eastAsia"/>
          <w:color w:val="333333"/>
        </w:rPr>
        <w:t>（五）注册资金不低于</w:t>
      </w:r>
      <w:r>
        <w:rPr>
          <w:rFonts w:hint="eastAsia"/>
          <w:color w:val="333333"/>
        </w:rPr>
        <w:t>5000</w:t>
      </w:r>
      <w:r>
        <w:rPr>
          <w:rFonts w:hint="eastAsia"/>
          <w:color w:val="333333"/>
        </w:rPr>
        <w:t>万元，上年度营业收入不低于</w:t>
      </w:r>
      <w:r>
        <w:rPr>
          <w:rFonts w:hint="eastAsia"/>
          <w:color w:val="333333"/>
        </w:rPr>
        <w:t>3</w:t>
      </w:r>
      <w:r>
        <w:rPr>
          <w:rFonts w:hint="eastAsia"/>
          <w:color w:val="333333"/>
        </w:rPr>
        <w:t>亿元、纳税额不低于</w:t>
      </w:r>
      <w:r>
        <w:rPr>
          <w:rFonts w:hint="eastAsia"/>
          <w:color w:val="333333"/>
        </w:rPr>
        <w:t>800</w:t>
      </w:r>
      <w:r>
        <w:rPr>
          <w:rFonts w:hint="eastAsia"/>
          <w:color w:val="333333"/>
        </w:rPr>
        <w:t>万元的非制造业企业（其中：房地产企业注册资金不低于</w:t>
      </w:r>
      <w:r>
        <w:rPr>
          <w:rFonts w:hint="eastAsia"/>
          <w:color w:val="333333"/>
        </w:rPr>
        <w:t>2</w:t>
      </w:r>
      <w:r>
        <w:rPr>
          <w:rFonts w:hint="eastAsia"/>
          <w:color w:val="333333"/>
        </w:rPr>
        <w:t>亿元，上年度营业收入不低于</w:t>
      </w:r>
      <w:r>
        <w:rPr>
          <w:rFonts w:hint="eastAsia"/>
          <w:color w:val="333333"/>
        </w:rPr>
        <w:t>5</w:t>
      </w:r>
      <w:r>
        <w:rPr>
          <w:rFonts w:hint="eastAsia"/>
          <w:color w:val="333333"/>
        </w:rPr>
        <w:t>亿元；建筑企业注册资金不低于</w:t>
      </w:r>
      <w:r>
        <w:rPr>
          <w:rFonts w:hint="eastAsia"/>
          <w:color w:val="333333"/>
        </w:rPr>
        <w:t>3000</w:t>
      </w:r>
      <w:r>
        <w:rPr>
          <w:rFonts w:hint="eastAsia"/>
          <w:color w:val="333333"/>
        </w:rPr>
        <w:t>万元，上年度营业收入</w:t>
      </w:r>
      <w:r>
        <w:rPr>
          <w:rFonts w:hint="eastAsia"/>
          <w:color w:val="333333"/>
        </w:rPr>
        <w:t>不低于</w:t>
      </w:r>
      <w:r>
        <w:rPr>
          <w:rFonts w:hint="eastAsia"/>
          <w:color w:val="333333"/>
        </w:rPr>
        <w:t>2</w:t>
      </w:r>
      <w:r>
        <w:rPr>
          <w:rFonts w:hint="eastAsia"/>
          <w:color w:val="333333"/>
        </w:rPr>
        <w:t>．</w:t>
      </w:r>
      <w:r>
        <w:rPr>
          <w:rFonts w:hint="eastAsia"/>
          <w:color w:val="333333"/>
        </w:rPr>
        <w:t>5</w:t>
      </w:r>
      <w:r>
        <w:rPr>
          <w:rFonts w:hint="eastAsia"/>
          <w:color w:val="333333"/>
        </w:rPr>
        <w:t>亿元）。</w:t>
      </w:r>
    </w:p>
    <w:p w:rsidR="00000000" w:rsidRDefault="000833C1">
      <w:pPr>
        <w:shd w:val="clear" w:color="auto" w:fill="FFFFFF"/>
        <w:spacing w:before="144" w:after="144"/>
        <w:ind w:firstLine="480"/>
        <w:divId w:val="1542667200"/>
        <w:rPr>
          <w:rFonts w:hint="eastAsia"/>
          <w:color w:val="333333"/>
        </w:rPr>
      </w:pPr>
      <w:r>
        <w:rPr>
          <w:rFonts w:hint="eastAsia"/>
          <w:color w:val="333333"/>
        </w:rPr>
        <w:t>（六）符合汕头市产业发展导向，且在国内外具有行业领军优势地位，对地方经济直接贡献大，经市总部经济领导小组认定的战略性新兴产业和高新技术产业的领军企业等。具体为：符合以下条件之一的企业，若上年度营业收入不低于</w:t>
      </w:r>
      <w:r>
        <w:rPr>
          <w:rFonts w:hint="eastAsia"/>
          <w:color w:val="333333"/>
        </w:rPr>
        <w:t>2</w:t>
      </w:r>
      <w:r>
        <w:rPr>
          <w:rFonts w:hint="eastAsia"/>
          <w:color w:val="333333"/>
        </w:rPr>
        <w:t>亿元（上年度尚未审计则采用最近一个年度），且比前一年度增长</w:t>
      </w:r>
      <w:r>
        <w:rPr>
          <w:rFonts w:hint="eastAsia"/>
          <w:color w:val="333333"/>
        </w:rPr>
        <w:t>15</w:t>
      </w:r>
      <w:r>
        <w:rPr>
          <w:rFonts w:hint="eastAsia"/>
          <w:color w:val="333333"/>
        </w:rPr>
        <w:t>％以上，或者已经进入上市辅导期，并取得省级证券主管部门备案的企业：</w:t>
      </w:r>
    </w:p>
    <w:p w:rsidR="00000000" w:rsidRDefault="000833C1">
      <w:pPr>
        <w:shd w:val="clear" w:color="auto" w:fill="FFFFFF"/>
        <w:spacing w:before="144" w:after="144"/>
        <w:ind w:firstLine="480"/>
        <w:divId w:val="1542667200"/>
        <w:rPr>
          <w:rFonts w:hint="eastAsia"/>
          <w:color w:val="333333"/>
        </w:rPr>
      </w:pPr>
      <w:r>
        <w:rPr>
          <w:rFonts w:hint="eastAsia"/>
          <w:color w:val="333333"/>
        </w:rPr>
        <w:t>1</w:t>
      </w:r>
      <w:r>
        <w:rPr>
          <w:rFonts w:hint="eastAsia"/>
          <w:color w:val="333333"/>
        </w:rPr>
        <w:t>．经省级以上（含省级）认定的战略性新兴产业骨干或培育企业；</w:t>
      </w:r>
    </w:p>
    <w:p w:rsidR="00000000" w:rsidRDefault="000833C1">
      <w:pPr>
        <w:shd w:val="clear" w:color="auto" w:fill="FFFFFF"/>
        <w:spacing w:before="144" w:after="144"/>
        <w:ind w:firstLine="480"/>
        <w:divId w:val="1542667200"/>
        <w:rPr>
          <w:rFonts w:hint="eastAsia"/>
          <w:color w:val="333333"/>
        </w:rPr>
      </w:pPr>
      <w:r>
        <w:rPr>
          <w:rFonts w:hint="eastAsia"/>
          <w:color w:val="333333"/>
        </w:rPr>
        <w:t>2</w:t>
      </w:r>
      <w:r>
        <w:rPr>
          <w:rFonts w:hint="eastAsia"/>
          <w:color w:val="333333"/>
        </w:rPr>
        <w:t>．省级以上（含省级）战略性新兴产业发展专项资金项目、省级以上（含省级）战略性新兴产业核心技术攻关专项承担单位；</w:t>
      </w:r>
    </w:p>
    <w:p w:rsidR="00000000" w:rsidRDefault="000833C1">
      <w:pPr>
        <w:shd w:val="clear" w:color="auto" w:fill="FFFFFF"/>
        <w:spacing w:before="144" w:after="144"/>
        <w:ind w:firstLine="480"/>
        <w:divId w:val="1542667200"/>
        <w:rPr>
          <w:rFonts w:hint="eastAsia"/>
          <w:color w:val="333333"/>
        </w:rPr>
      </w:pPr>
      <w:r>
        <w:rPr>
          <w:rFonts w:hint="eastAsia"/>
          <w:color w:val="333333"/>
        </w:rPr>
        <w:t>3</w:t>
      </w:r>
      <w:r>
        <w:rPr>
          <w:rFonts w:hint="eastAsia"/>
          <w:color w:val="333333"/>
        </w:rPr>
        <w:t>．获得省级以上（含省级）企业技术中心认定企业；</w:t>
      </w:r>
    </w:p>
    <w:p w:rsidR="00000000" w:rsidRDefault="000833C1">
      <w:pPr>
        <w:shd w:val="clear" w:color="auto" w:fill="FFFFFF"/>
        <w:spacing w:before="144" w:after="144"/>
        <w:ind w:firstLine="480"/>
        <w:divId w:val="1542667200"/>
        <w:rPr>
          <w:rFonts w:hint="eastAsia"/>
          <w:color w:val="333333"/>
        </w:rPr>
      </w:pPr>
      <w:r>
        <w:rPr>
          <w:rFonts w:hint="eastAsia"/>
          <w:color w:val="333333"/>
        </w:rPr>
        <w:t>4</w:t>
      </w:r>
      <w:r>
        <w:rPr>
          <w:rFonts w:hint="eastAsia"/>
          <w:color w:val="333333"/>
        </w:rPr>
        <w:t>．经省级以上（含省级）认定的优势传统产业转型升级示范企业；</w:t>
      </w:r>
    </w:p>
    <w:p w:rsidR="00000000" w:rsidRDefault="000833C1">
      <w:pPr>
        <w:shd w:val="clear" w:color="auto" w:fill="FFFFFF"/>
        <w:spacing w:before="144" w:after="144"/>
        <w:ind w:firstLine="480"/>
        <w:divId w:val="1542667200"/>
        <w:rPr>
          <w:rFonts w:hint="eastAsia"/>
          <w:color w:val="333333"/>
        </w:rPr>
      </w:pPr>
      <w:r>
        <w:rPr>
          <w:rFonts w:hint="eastAsia"/>
          <w:color w:val="333333"/>
        </w:rPr>
        <w:t>5</w:t>
      </w:r>
      <w:r>
        <w:rPr>
          <w:rFonts w:hint="eastAsia"/>
          <w:color w:val="333333"/>
        </w:rPr>
        <w:t>．经省级以上（含省级）认定的装备制造业重点骨干企业或重点培育企业；</w:t>
      </w:r>
    </w:p>
    <w:p w:rsidR="00000000" w:rsidRDefault="000833C1">
      <w:pPr>
        <w:shd w:val="clear" w:color="auto" w:fill="FFFFFF"/>
        <w:spacing w:before="144" w:after="144"/>
        <w:ind w:firstLine="480"/>
        <w:divId w:val="1542667200"/>
        <w:rPr>
          <w:rFonts w:hint="eastAsia"/>
          <w:color w:val="333333"/>
        </w:rPr>
      </w:pPr>
      <w:r>
        <w:rPr>
          <w:rFonts w:hint="eastAsia"/>
          <w:color w:val="333333"/>
        </w:rPr>
        <w:t>6</w:t>
      </w:r>
      <w:r>
        <w:rPr>
          <w:rFonts w:hint="eastAsia"/>
          <w:color w:val="333333"/>
        </w:rPr>
        <w:t>．获得省级以上（含省级）高新技术企业认定企业；</w:t>
      </w:r>
    </w:p>
    <w:p w:rsidR="00000000" w:rsidRDefault="000833C1">
      <w:pPr>
        <w:shd w:val="clear" w:color="auto" w:fill="FFFFFF"/>
        <w:spacing w:before="144" w:after="144"/>
        <w:ind w:firstLine="480"/>
        <w:divId w:val="1542667200"/>
        <w:rPr>
          <w:rFonts w:hint="eastAsia"/>
          <w:color w:val="333333"/>
        </w:rPr>
      </w:pPr>
      <w:r>
        <w:rPr>
          <w:rFonts w:hint="eastAsia"/>
          <w:color w:val="333333"/>
        </w:rPr>
        <w:t>7</w:t>
      </w:r>
      <w:r>
        <w:rPr>
          <w:rFonts w:hint="eastAsia"/>
          <w:color w:val="333333"/>
        </w:rPr>
        <w:t>．承担国家火炬计划或星火计划重点项目的企业。</w:t>
      </w:r>
    </w:p>
    <w:p w:rsidR="00000000" w:rsidRDefault="000833C1">
      <w:pPr>
        <w:shd w:val="clear" w:color="auto" w:fill="FFFFFF"/>
        <w:spacing w:before="144" w:after="144"/>
        <w:ind w:firstLine="480"/>
        <w:divId w:val="1542667200"/>
        <w:rPr>
          <w:rFonts w:hint="eastAsia"/>
          <w:color w:val="333333"/>
        </w:rPr>
      </w:pPr>
      <w:r>
        <w:rPr>
          <w:rFonts w:hint="eastAsia"/>
          <w:color w:val="333333"/>
        </w:rPr>
        <w:t>（七）出资人在本市投资一家或以上独立法人企业，该出资人申请认定为总部企业时，其所有全资控股的企业缴入我市地方库的纳税额</w:t>
      </w:r>
      <w:r>
        <w:rPr>
          <w:rFonts w:hint="eastAsia"/>
          <w:color w:val="333333"/>
        </w:rPr>
        <w:t>可以合并计算。该出资人所有全资控股企业应委托其中一家本市企业作为其申报总部企业认定及申请总部扶持资金的代表企业并应共同出具书面委托书，提供具备资质的中介机构出具的由同一出资人全资控股的验资报告，并承诺其他企业不再申请总部企业认定和申报总部企业扶持资金。</w:t>
      </w:r>
    </w:p>
    <w:p w:rsidR="00000000" w:rsidRDefault="000833C1">
      <w:pPr>
        <w:shd w:val="clear" w:color="auto" w:fill="FFFFFF"/>
        <w:spacing w:before="144" w:after="144"/>
        <w:ind w:firstLine="480"/>
        <w:divId w:val="1542667200"/>
        <w:rPr>
          <w:rFonts w:hint="eastAsia"/>
          <w:color w:val="333333"/>
        </w:rPr>
      </w:pPr>
      <w:r>
        <w:rPr>
          <w:rFonts w:hint="eastAsia"/>
          <w:color w:val="333333"/>
        </w:rPr>
        <w:t>以上独立法人企业各自独立申请认定为我市总部企业并获得认定的，其享受的总部企业扶持资金也相应地单独考核计算。</w:t>
      </w:r>
    </w:p>
    <w:p w:rsidR="00000000" w:rsidRDefault="000833C1">
      <w:pPr>
        <w:shd w:val="clear" w:color="auto" w:fill="FFFFFF"/>
        <w:spacing w:before="144" w:after="144"/>
        <w:ind w:firstLine="480"/>
        <w:divId w:val="1542667200"/>
        <w:rPr>
          <w:rFonts w:hint="eastAsia"/>
          <w:color w:val="333333"/>
        </w:rPr>
      </w:pPr>
      <w:r>
        <w:rPr>
          <w:rFonts w:hint="eastAsia"/>
          <w:color w:val="333333"/>
        </w:rPr>
        <w:t>上述企业申报方式一经选定，五年内不得改变考核口径。</w:t>
      </w:r>
    </w:p>
    <w:p w:rsidR="00000000" w:rsidRDefault="000833C1">
      <w:pPr>
        <w:shd w:val="clear" w:color="auto" w:fill="FFFFFF"/>
        <w:spacing w:before="144" w:after="144"/>
        <w:ind w:firstLine="480"/>
        <w:divId w:val="1542667200"/>
        <w:rPr>
          <w:rFonts w:hint="eastAsia"/>
          <w:color w:val="333333"/>
        </w:rPr>
      </w:pPr>
      <w:r>
        <w:rPr>
          <w:rFonts w:hint="eastAsia"/>
          <w:color w:val="333333"/>
        </w:rPr>
        <w:t>五、在我市新设立企业，达到本办法第四条第一至第六条款中任一款条件，或符合以下条件，可认定为总部企业</w:t>
      </w:r>
      <w:r>
        <w:rPr>
          <w:rFonts w:hint="eastAsia"/>
          <w:color w:val="333333"/>
        </w:rPr>
        <w:t>：</w:t>
      </w:r>
    </w:p>
    <w:p w:rsidR="00000000" w:rsidRDefault="000833C1">
      <w:pPr>
        <w:shd w:val="clear" w:color="auto" w:fill="FFFFFF"/>
        <w:spacing w:before="144" w:after="144"/>
        <w:ind w:firstLine="480"/>
        <w:divId w:val="1542667200"/>
        <w:rPr>
          <w:rFonts w:hint="eastAsia"/>
          <w:color w:val="333333"/>
        </w:rPr>
      </w:pPr>
      <w:r>
        <w:rPr>
          <w:rFonts w:hint="eastAsia"/>
          <w:color w:val="333333"/>
        </w:rPr>
        <w:t>（一）注册地在我市，具有独立企业法人资格，并在我市（合并）汇总缴纳企业所得税；</w:t>
      </w:r>
    </w:p>
    <w:p w:rsidR="00000000" w:rsidRDefault="000833C1">
      <w:pPr>
        <w:shd w:val="clear" w:color="auto" w:fill="FFFFFF"/>
        <w:spacing w:before="144" w:after="144"/>
        <w:ind w:firstLine="480"/>
        <w:divId w:val="1542667200"/>
        <w:rPr>
          <w:rFonts w:hint="eastAsia"/>
          <w:color w:val="333333"/>
        </w:rPr>
      </w:pPr>
      <w:r>
        <w:rPr>
          <w:rFonts w:hint="eastAsia"/>
          <w:color w:val="333333"/>
        </w:rPr>
        <w:t>（二）新设立的制造业企业，其母公司净资产不低于</w:t>
      </w:r>
      <w:r>
        <w:rPr>
          <w:rFonts w:hint="eastAsia"/>
          <w:color w:val="333333"/>
        </w:rPr>
        <w:t>5</w:t>
      </w:r>
      <w:r>
        <w:rPr>
          <w:rFonts w:hint="eastAsia"/>
          <w:color w:val="333333"/>
        </w:rPr>
        <w:t>亿元，在汕头行政区域内投资新设并经工商注册登记，注册资本不低于</w:t>
      </w:r>
      <w:r>
        <w:rPr>
          <w:rFonts w:hint="eastAsia"/>
          <w:color w:val="333333"/>
        </w:rPr>
        <w:t>5000</w:t>
      </w:r>
      <w:r>
        <w:rPr>
          <w:rFonts w:hint="eastAsia"/>
          <w:color w:val="333333"/>
        </w:rPr>
        <w:t>万元；</w:t>
      </w:r>
    </w:p>
    <w:p w:rsidR="00000000" w:rsidRDefault="000833C1">
      <w:pPr>
        <w:shd w:val="clear" w:color="auto" w:fill="FFFFFF"/>
        <w:spacing w:before="144" w:after="144"/>
        <w:ind w:firstLine="480"/>
        <w:divId w:val="1542667200"/>
        <w:rPr>
          <w:rFonts w:hint="eastAsia"/>
          <w:color w:val="333333"/>
        </w:rPr>
      </w:pPr>
      <w:r>
        <w:rPr>
          <w:rFonts w:hint="eastAsia"/>
          <w:color w:val="333333"/>
        </w:rPr>
        <w:t>（三）新设立的非制造业企业，其母公司净资产（母公司净资产的计算，按第一大股东母公司持股比例返算计算）不低于</w:t>
      </w:r>
      <w:r>
        <w:rPr>
          <w:rFonts w:hint="eastAsia"/>
          <w:color w:val="333333"/>
        </w:rPr>
        <w:t>3</w:t>
      </w:r>
      <w:r>
        <w:rPr>
          <w:rFonts w:hint="eastAsia"/>
          <w:color w:val="333333"/>
        </w:rPr>
        <w:t>亿元（金融服务类企业，其母公司净资产不低于</w:t>
      </w:r>
      <w:r>
        <w:rPr>
          <w:rFonts w:hint="eastAsia"/>
          <w:color w:val="333333"/>
        </w:rPr>
        <w:t>1</w:t>
      </w:r>
      <w:r>
        <w:rPr>
          <w:rFonts w:hint="eastAsia"/>
          <w:color w:val="333333"/>
        </w:rPr>
        <w:t>亿元，并承诺在汕头海湾新区中建设金融服务区域总部），在汕头行政区域内投资新设并经工商注册登记，注册资金不低于</w:t>
      </w:r>
      <w:r>
        <w:rPr>
          <w:rFonts w:hint="eastAsia"/>
          <w:color w:val="333333"/>
        </w:rPr>
        <w:t>3000</w:t>
      </w:r>
      <w:r>
        <w:rPr>
          <w:rFonts w:hint="eastAsia"/>
          <w:color w:val="333333"/>
        </w:rPr>
        <w:t>万元（其中房地产企业注册资金不低于</w:t>
      </w:r>
      <w:r>
        <w:rPr>
          <w:rFonts w:hint="eastAsia"/>
          <w:color w:val="333333"/>
        </w:rPr>
        <w:t>2</w:t>
      </w:r>
      <w:r>
        <w:rPr>
          <w:rFonts w:hint="eastAsia"/>
          <w:color w:val="333333"/>
        </w:rPr>
        <w:t>亿元）。</w:t>
      </w:r>
    </w:p>
    <w:p w:rsidR="00000000" w:rsidRDefault="000833C1">
      <w:pPr>
        <w:shd w:val="clear" w:color="auto" w:fill="FFFFFF"/>
        <w:spacing w:before="144" w:after="144"/>
        <w:ind w:firstLine="480"/>
        <w:divId w:val="1542667200"/>
        <w:rPr>
          <w:rFonts w:hint="eastAsia"/>
          <w:color w:val="333333"/>
        </w:rPr>
      </w:pPr>
      <w:r>
        <w:rPr>
          <w:rFonts w:hint="eastAsia"/>
          <w:color w:val="333333"/>
        </w:rPr>
        <w:t>企业按本条规定申报总部企业认定时，应提供母公司与新设立企业之间的投资关系证明。母公司属境外企业的，有关证明材料需经当地律师见证或公证机关公证。</w:t>
      </w:r>
    </w:p>
    <w:p w:rsidR="00000000" w:rsidRDefault="000833C1">
      <w:pPr>
        <w:shd w:val="clear" w:color="auto" w:fill="FFFFFF"/>
        <w:spacing w:before="144" w:after="144"/>
        <w:ind w:firstLine="480"/>
        <w:divId w:val="1542667200"/>
        <w:rPr>
          <w:rFonts w:hint="eastAsia"/>
          <w:color w:val="333333"/>
        </w:rPr>
      </w:pPr>
      <w:r>
        <w:rPr>
          <w:rFonts w:hint="eastAsia"/>
          <w:color w:val="333333"/>
        </w:rPr>
        <w:t>六、所属企业合计注册资金不低于</w:t>
      </w:r>
      <w:r>
        <w:rPr>
          <w:rFonts w:hint="eastAsia"/>
          <w:color w:val="333333"/>
        </w:rPr>
        <w:t>5</w:t>
      </w:r>
      <w:r>
        <w:rPr>
          <w:rFonts w:hint="eastAsia"/>
          <w:color w:val="333333"/>
        </w:rPr>
        <w:t>亿元、资产总额不低于</w:t>
      </w:r>
      <w:r>
        <w:rPr>
          <w:rFonts w:hint="eastAsia"/>
          <w:color w:val="333333"/>
        </w:rPr>
        <w:t>30</w:t>
      </w:r>
      <w:r>
        <w:rPr>
          <w:rFonts w:hint="eastAsia"/>
          <w:color w:val="333333"/>
        </w:rPr>
        <w:t>亿元的</w:t>
      </w:r>
      <w:proofErr w:type="gramStart"/>
      <w:r>
        <w:rPr>
          <w:rFonts w:hint="eastAsia"/>
          <w:color w:val="333333"/>
        </w:rPr>
        <w:t>本地行业</w:t>
      </w:r>
      <w:proofErr w:type="gramEnd"/>
      <w:r>
        <w:rPr>
          <w:rFonts w:hint="eastAsia"/>
          <w:color w:val="333333"/>
        </w:rPr>
        <w:t>协会、外地潮籍商会（含境外潮籍商会）、在我市注册的异地商会，经认定可享受入驻珠港新城总部经济区总部经济用地政策。</w:t>
      </w:r>
    </w:p>
    <w:p w:rsidR="00000000" w:rsidRDefault="000833C1">
      <w:pPr>
        <w:shd w:val="clear" w:color="auto" w:fill="FFFFFF"/>
        <w:spacing w:before="144" w:after="144"/>
        <w:ind w:firstLine="480"/>
        <w:divId w:val="1542667200"/>
        <w:rPr>
          <w:rFonts w:hint="eastAsia"/>
          <w:color w:val="333333"/>
        </w:rPr>
      </w:pPr>
      <w:r>
        <w:rPr>
          <w:rFonts w:hint="eastAsia"/>
          <w:color w:val="333333"/>
        </w:rPr>
        <w:t>七、申请认定的总部企业应承诺</w:t>
      </w:r>
      <w:r>
        <w:rPr>
          <w:rFonts w:hint="eastAsia"/>
          <w:color w:val="333333"/>
        </w:rPr>
        <w:t>10</w:t>
      </w:r>
      <w:r>
        <w:rPr>
          <w:rFonts w:hint="eastAsia"/>
          <w:color w:val="333333"/>
        </w:rPr>
        <w:t>年内不将注册地址迁离本市，不减少注册资本，不改变其在本市的纳税义务，否则，应退还</w:t>
      </w:r>
      <w:proofErr w:type="gramStart"/>
      <w:r>
        <w:rPr>
          <w:rFonts w:hint="eastAsia"/>
          <w:color w:val="333333"/>
        </w:rPr>
        <w:t>因获被认定</w:t>
      </w:r>
      <w:proofErr w:type="gramEnd"/>
      <w:r>
        <w:rPr>
          <w:rFonts w:hint="eastAsia"/>
          <w:color w:val="333333"/>
        </w:rPr>
        <w:t>为总部企业而得到的地方政府给予的一切优惠和奖励。</w:t>
      </w:r>
    </w:p>
    <w:p w:rsidR="00000000" w:rsidRDefault="000833C1">
      <w:pPr>
        <w:shd w:val="clear" w:color="auto" w:fill="FFFFFF"/>
        <w:spacing w:before="144" w:after="144"/>
        <w:ind w:firstLine="480"/>
        <w:jc w:val="center"/>
        <w:divId w:val="1542667200"/>
        <w:rPr>
          <w:rFonts w:hint="eastAsia"/>
          <w:color w:val="333333"/>
        </w:rPr>
      </w:pPr>
      <w:r>
        <w:rPr>
          <w:rStyle w:val="a5"/>
          <w:rFonts w:hint="eastAsia"/>
          <w:color w:val="333333"/>
        </w:rPr>
        <w:t>第三章　总部企业认定程序</w:t>
      </w:r>
    </w:p>
    <w:p w:rsidR="00000000" w:rsidRDefault="000833C1">
      <w:pPr>
        <w:shd w:val="clear" w:color="auto" w:fill="FFFFFF"/>
        <w:spacing w:before="144" w:after="144"/>
        <w:ind w:firstLine="480"/>
        <w:divId w:val="1542667200"/>
        <w:rPr>
          <w:rFonts w:hint="eastAsia"/>
          <w:color w:val="333333"/>
        </w:rPr>
      </w:pPr>
      <w:r>
        <w:rPr>
          <w:rFonts w:hint="eastAsia"/>
          <w:color w:val="333333"/>
        </w:rPr>
        <w:t>八、申请总部企业认定的企业，应向行业主管部门（审核部门）提交以下材料，并由行业主管部门进行审核。内资企业及</w:t>
      </w:r>
      <w:proofErr w:type="gramStart"/>
      <w:r>
        <w:rPr>
          <w:rFonts w:hint="eastAsia"/>
          <w:color w:val="333333"/>
        </w:rPr>
        <w:t>本地行业</w:t>
      </w:r>
      <w:proofErr w:type="gramEnd"/>
      <w:r>
        <w:rPr>
          <w:rFonts w:hint="eastAsia"/>
          <w:color w:val="333333"/>
        </w:rPr>
        <w:t>协会由市经济和信息化局、外商（含港、澳、台）投资企业及境外潮籍商会由市商务局、金融类企业（</w:t>
      </w:r>
      <w:proofErr w:type="gramStart"/>
      <w:r>
        <w:rPr>
          <w:rFonts w:hint="eastAsia"/>
          <w:color w:val="333333"/>
        </w:rPr>
        <w:t>含上市</w:t>
      </w:r>
      <w:proofErr w:type="gramEnd"/>
      <w:r>
        <w:rPr>
          <w:rFonts w:hint="eastAsia"/>
          <w:color w:val="333333"/>
        </w:rPr>
        <w:t>公司）由市金融工作局、在外潮籍商会及在</w:t>
      </w:r>
      <w:proofErr w:type="gramStart"/>
      <w:r>
        <w:rPr>
          <w:rFonts w:hint="eastAsia"/>
          <w:color w:val="333333"/>
        </w:rPr>
        <w:t>汕</w:t>
      </w:r>
      <w:proofErr w:type="gramEnd"/>
      <w:r>
        <w:rPr>
          <w:rFonts w:hint="eastAsia"/>
          <w:color w:val="333333"/>
        </w:rPr>
        <w:t>注册异地商会由市工商业联合会（总商会）作为总部企业的审核受理部门：</w:t>
      </w:r>
    </w:p>
    <w:p w:rsidR="00000000" w:rsidRDefault="000833C1">
      <w:pPr>
        <w:shd w:val="clear" w:color="auto" w:fill="FFFFFF"/>
        <w:spacing w:before="144" w:after="144"/>
        <w:ind w:firstLine="480"/>
        <w:divId w:val="1542667200"/>
        <w:rPr>
          <w:rFonts w:hint="eastAsia"/>
          <w:color w:val="333333"/>
        </w:rPr>
      </w:pPr>
      <w:r>
        <w:rPr>
          <w:rFonts w:hint="eastAsia"/>
          <w:color w:val="333333"/>
        </w:rPr>
        <w:t>（一）现有总部企业认定：</w:t>
      </w:r>
    </w:p>
    <w:p w:rsidR="00000000" w:rsidRDefault="000833C1">
      <w:pPr>
        <w:shd w:val="clear" w:color="auto" w:fill="FFFFFF"/>
        <w:spacing w:before="144" w:after="144"/>
        <w:ind w:firstLine="480"/>
        <w:divId w:val="1542667200"/>
        <w:rPr>
          <w:rFonts w:hint="eastAsia"/>
          <w:color w:val="333333"/>
        </w:rPr>
      </w:pPr>
      <w:r>
        <w:rPr>
          <w:rFonts w:hint="eastAsia"/>
          <w:color w:val="333333"/>
        </w:rPr>
        <w:t>1</w:t>
      </w:r>
      <w:r>
        <w:rPr>
          <w:rFonts w:hint="eastAsia"/>
          <w:color w:val="333333"/>
        </w:rPr>
        <w:t>．法定代表人签署的《汕头市总部企业认定申请表》；</w:t>
      </w:r>
    </w:p>
    <w:p w:rsidR="00000000" w:rsidRDefault="000833C1">
      <w:pPr>
        <w:shd w:val="clear" w:color="auto" w:fill="FFFFFF"/>
        <w:spacing w:before="144" w:after="144"/>
        <w:ind w:firstLine="480"/>
        <w:divId w:val="1542667200"/>
        <w:rPr>
          <w:rFonts w:hint="eastAsia"/>
          <w:color w:val="333333"/>
        </w:rPr>
      </w:pPr>
      <w:r>
        <w:rPr>
          <w:rFonts w:hint="eastAsia"/>
          <w:color w:val="333333"/>
        </w:rPr>
        <w:t>2</w:t>
      </w:r>
      <w:r>
        <w:rPr>
          <w:rFonts w:hint="eastAsia"/>
          <w:color w:val="333333"/>
        </w:rPr>
        <w:t>．本企业营业执照和税务登记证，金融企业还应提交金融业务经营许可证；</w:t>
      </w:r>
    </w:p>
    <w:p w:rsidR="00000000" w:rsidRDefault="000833C1">
      <w:pPr>
        <w:shd w:val="clear" w:color="auto" w:fill="FFFFFF"/>
        <w:spacing w:before="144" w:after="144"/>
        <w:ind w:firstLine="480"/>
        <w:divId w:val="1542667200"/>
        <w:rPr>
          <w:rFonts w:hint="eastAsia"/>
          <w:color w:val="333333"/>
        </w:rPr>
      </w:pPr>
      <w:r>
        <w:rPr>
          <w:rFonts w:hint="eastAsia"/>
          <w:color w:val="333333"/>
        </w:rPr>
        <w:t>3</w:t>
      </w:r>
      <w:r>
        <w:rPr>
          <w:rFonts w:hint="eastAsia"/>
          <w:color w:val="333333"/>
        </w:rPr>
        <w:t>．当地主管税务机关</w:t>
      </w:r>
      <w:r>
        <w:rPr>
          <w:rFonts w:hint="eastAsia"/>
          <w:color w:val="333333"/>
        </w:rPr>
        <w:t>出具的本企业前两个年度的纳税情况；</w:t>
      </w:r>
    </w:p>
    <w:p w:rsidR="00000000" w:rsidRDefault="000833C1">
      <w:pPr>
        <w:shd w:val="clear" w:color="auto" w:fill="FFFFFF"/>
        <w:spacing w:before="144" w:after="144"/>
        <w:ind w:firstLine="480"/>
        <w:divId w:val="1542667200"/>
        <w:rPr>
          <w:rFonts w:hint="eastAsia"/>
          <w:color w:val="333333"/>
        </w:rPr>
      </w:pPr>
      <w:r>
        <w:rPr>
          <w:rFonts w:hint="eastAsia"/>
          <w:color w:val="333333"/>
        </w:rPr>
        <w:t>4</w:t>
      </w:r>
      <w:r>
        <w:rPr>
          <w:rFonts w:hint="eastAsia"/>
          <w:color w:val="333333"/>
        </w:rPr>
        <w:t>．经注册会计事务所审计的本企业上年度财务报表；</w:t>
      </w:r>
    </w:p>
    <w:p w:rsidR="00000000" w:rsidRDefault="000833C1">
      <w:pPr>
        <w:shd w:val="clear" w:color="auto" w:fill="FFFFFF"/>
        <w:spacing w:before="144" w:after="144"/>
        <w:ind w:firstLine="480"/>
        <w:divId w:val="1542667200"/>
        <w:rPr>
          <w:rFonts w:hint="eastAsia"/>
          <w:color w:val="333333"/>
        </w:rPr>
      </w:pPr>
      <w:r>
        <w:rPr>
          <w:rFonts w:hint="eastAsia"/>
          <w:color w:val="333333"/>
        </w:rPr>
        <w:t>（二）新设立总部企业认定：</w:t>
      </w:r>
    </w:p>
    <w:p w:rsidR="00000000" w:rsidRDefault="000833C1">
      <w:pPr>
        <w:shd w:val="clear" w:color="auto" w:fill="FFFFFF"/>
        <w:spacing w:before="144" w:after="144"/>
        <w:ind w:firstLine="480"/>
        <w:divId w:val="1542667200"/>
        <w:rPr>
          <w:rFonts w:hint="eastAsia"/>
          <w:color w:val="333333"/>
        </w:rPr>
      </w:pPr>
      <w:r>
        <w:rPr>
          <w:rFonts w:hint="eastAsia"/>
          <w:color w:val="333333"/>
        </w:rPr>
        <w:t>1</w:t>
      </w:r>
      <w:r>
        <w:rPr>
          <w:rFonts w:hint="eastAsia"/>
          <w:color w:val="333333"/>
        </w:rPr>
        <w:t>．法定代表人签署的《汕头市总部企业认定申请表》；</w:t>
      </w:r>
    </w:p>
    <w:p w:rsidR="00000000" w:rsidRDefault="000833C1">
      <w:pPr>
        <w:shd w:val="clear" w:color="auto" w:fill="FFFFFF"/>
        <w:spacing w:before="144" w:after="144"/>
        <w:ind w:firstLine="480"/>
        <w:divId w:val="1542667200"/>
        <w:rPr>
          <w:rFonts w:hint="eastAsia"/>
          <w:color w:val="333333"/>
        </w:rPr>
      </w:pPr>
      <w:r>
        <w:rPr>
          <w:rFonts w:hint="eastAsia"/>
          <w:color w:val="333333"/>
        </w:rPr>
        <w:t>2</w:t>
      </w:r>
      <w:r>
        <w:rPr>
          <w:rFonts w:hint="eastAsia"/>
          <w:color w:val="333333"/>
        </w:rPr>
        <w:t>．本企业和母公司的营业执照和税务登记证，金融企业还应提交金融业务经营许可证；</w:t>
      </w:r>
    </w:p>
    <w:p w:rsidR="00000000" w:rsidRDefault="000833C1">
      <w:pPr>
        <w:shd w:val="clear" w:color="auto" w:fill="FFFFFF"/>
        <w:spacing w:before="144" w:after="144"/>
        <w:ind w:firstLine="480"/>
        <w:divId w:val="1542667200"/>
        <w:rPr>
          <w:rFonts w:hint="eastAsia"/>
          <w:color w:val="333333"/>
        </w:rPr>
      </w:pPr>
      <w:r>
        <w:rPr>
          <w:rFonts w:hint="eastAsia"/>
          <w:color w:val="333333"/>
        </w:rPr>
        <w:t>3</w:t>
      </w:r>
      <w:r>
        <w:rPr>
          <w:rFonts w:hint="eastAsia"/>
          <w:color w:val="333333"/>
        </w:rPr>
        <w:t>．新设立企业与母公司隶属关系证明；</w:t>
      </w:r>
    </w:p>
    <w:p w:rsidR="00000000" w:rsidRDefault="000833C1">
      <w:pPr>
        <w:shd w:val="clear" w:color="auto" w:fill="FFFFFF"/>
        <w:spacing w:before="144" w:after="144"/>
        <w:ind w:firstLine="480"/>
        <w:divId w:val="1542667200"/>
        <w:rPr>
          <w:rFonts w:hint="eastAsia"/>
          <w:color w:val="333333"/>
        </w:rPr>
      </w:pPr>
      <w:r>
        <w:rPr>
          <w:rFonts w:hint="eastAsia"/>
          <w:color w:val="333333"/>
        </w:rPr>
        <w:t>4</w:t>
      </w:r>
      <w:r>
        <w:rPr>
          <w:rFonts w:hint="eastAsia"/>
          <w:color w:val="333333"/>
        </w:rPr>
        <w:t>．经注册会计事务所审计的母公司上年度财务报表；</w:t>
      </w:r>
    </w:p>
    <w:p w:rsidR="00000000" w:rsidRDefault="000833C1">
      <w:pPr>
        <w:shd w:val="clear" w:color="auto" w:fill="FFFFFF"/>
        <w:spacing w:before="144" w:after="144"/>
        <w:ind w:firstLine="480"/>
        <w:divId w:val="1542667200"/>
        <w:rPr>
          <w:rFonts w:hint="eastAsia"/>
          <w:color w:val="333333"/>
        </w:rPr>
      </w:pPr>
      <w:r>
        <w:rPr>
          <w:rFonts w:hint="eastAsia"/>
          <w:color w:val="333333"/>
        </w:rPr>
        <w:t>（三）协会（商会）享受总部经济用地政策认定：</w:t>
      </w:r>
    </w:p>
    <w:p w:rsidR="00000000" w:rsidRDefault="000833C1">
      <w:pPr>
        <w:shd w:val="clear" w:color="auto" w:fill="FFFFFF"/>
        <w:spacing w:before="144" w:after="144"/>
        <w:ind w:firstLine="480"/>
        <w:divId w:val="1542667200"/>
        <w:rPr>
          <w:rFonts w:hint="eastAsia"/>
          <w:color w:val="333333"/>
        </w:rPr>
      </w:pPr>
      <w:r>
        <w:rPr>
          <w:rFonts w:hint="eastAsia"/>
          <w:color w:val="333333"/>
        </w:rPr>
        <w:t>1</w:t>
      </w:r>
      <w:r>
        <w:rPr>
          <w:rFonts w:hint="eastAsia"/>
          <w:color w:val="333333"/>
        </w:rPr>
        <w:t>．法定代表人签署的《汕头市总部企业认定申请表》；</w:t>
      </w:r>
    </w:p>
    <w:p w:rsidR="00000000" w:rsidRDefault="000833C1">
      <w:pPr>
        <w:shd w:val="clear" w:color="auto" w:fill="FFFFFF"/>
        <w:spacing w:before="144" w:after="144"/>
        <w:ind w:firstLine="480"/>
        <w:divId w:val="1542667200"/>
        <w:rPr>
          <w:rFonts w:hint="eastAsia"/>
          <w:color w:val="333333"/>
        </w:rPr>
      </w:pPr>
      <w:r>
        <w:rPr>
          <w:rFonts w:hint="eastAsia"/>
          <w:color w:val="333333"/>
        </w:rPr>
        <w:t>2</w:t>
      </w:r>
      <w:r>
        <w:rPr>
          <w:rFonts w:hint="eastAsia"/>
          <w:color w:val="333333"/>
        </w:rPr>
        <w:t>．所属拟入驻珠港新城总部经济区企业名单；</w:t>
      </w:r>
    </w:p>
    <w:p w:rsidR="00000000" w:rsidRDefault="000833C1">
      <w:pPr>
        <w:shd w:val="clear" w:color="auto" w:fill="FFFFFF"/>
        <w:spacing w:before="144" w:after="144"/>
        <w:ind w:firstLine="480"/>
        <w:divId w:val="1542667200"/>
        <w:rPr>
          <w:rFonts w:hint="eastAsia"/>
          <w:color w:val="333333"/>
        </w:rPr>
      </w:pPr>
      <w:r>
        <w:rPr>
          <w:rFonts w:hint="eastAsia"/>
          <w:color w:val="333333"/>
        </w:rPr>
        <w:t>3</w:t>
      </w:r>
      <w:r>
        <w:rPr>
          <w:rFonts w:hint="eastAsia"/>
          <w:color w:val="333333"/>
        </w:rPr>
        <w:t>．所属企业合计注册资金不低于</w:t>
      </w:r>
      <w:r>
        <w:rPr>
          <w:rFonts w:hint="eastAsia"/>
          <w:color w:val="333333"/>
        </w:rPr>
        <w:t>5</w:t>
      </w:r>
      <w:r>
        <w:rPr>
          <w:rFonts w:hint="eastAsia"/>
          <w:color w:val="333333"/>
        </w:rPr>
        <w:t>亿元，资产总额不低于</w:t>
      </w:r>
      <w:r>
        <w:rPr>
          <w:rFonts w:hint="eastAsia"/>
          <w:color w:val="333333"/>
        </w:rPr>
        <w:t>30</w:t>
      </w:r>
      <w:r>
        <w:rPr>
          <w:rFonts w:hint="eastAsia"/>
          <w:color w:val="333333"/>
        </w:rPr>
        <w:t>亿元的证明文件。</w:t>
      </w:r>
    </w:p>
    <w:p w:rsidR="00000000" w:rsidRDefault="000833C1">
      <w:pPr>
        <w:shd w:val="clear" w:color="auto" w:fill="FFFFFF"/>
        <w:spacing w:before="144" w:after="144"/>
        <w:ind w:firstLine="480"/>
        <w:divId w:val="1542667200"/>
        <w:rPr>
          <w:rFonts w:hint="eastAsia"/>
          <w:color w:val="333333"/>
        </w:rPr>
      </w:pPr>
      <w:r>
        <w:rPr>
          <w:rFonts w:hint="eastAsia"/>
          <w:color w:val="333333"/>
        </w:rPr>
        <w:t>上述各类证照、证明和审计报告均收复印件、验原件。</w:t>
      </w:r>
    </w:p>
    <w:p w:rsidR="00000000" w:rsidRDefault="000833C1">
      <w:pPr>
        <w:shd w:val="clear" w:color="auto" w:fill="FFFFFF"/>
        <w:spacing w:before="144" w:after="144"/>
        <w:ind w:firstLine="480"/>
        <w:divId w:val="1542667200"/>
        <w:rPr>
          <w:rFonts w:hint="eastAsia"/>
          <w:color w:val="333333"/>
        </w:rPr>
      </w:pPr>
      <w:r>
        <w:rPr>
          <w:rFonts w:hint="eastAsia"/>
          <w:color w:val="333333"/>
        </w:rPr>
        <w:t>九、行业主管部门对企业申请材料审核后，对符合条件的，出具审核意见并连同拟认定总部企业名单报送市总部经济领导小组办公室汇总；对不符合条件的，应当书面答复并说明理由。审核时主管税务机关对申报企业的纳税情况进行审核，并提出审核意见。</w:t>
      </w:r>
    </w:p>
    <w:p w:rsidR="00000000" w:rsidRDefault="000833C1">
      <w:pPr>
        <w:shd w:val="clear" w:color="auto" w:fill="FFFFFF"/>
        <w:spacing w:before="144" w:after="144"/>
        <w:ind w:firstLine="480"/>
        <w:divId w:val="1542667200"/>
        <w:rPr>
          <w:rFonts w:hint="eastAsia"/>
          <w:color w:val="333333"/>
        </w:rPr>
      </w:pPr>
      <w:r>
        <w:rPr>
          <w:rFonts w:hint="eastAsia"/>
          <w:color w:val="333333"/>
        </w:rPr>
        <w:t>十、市总部经济领导小组办公室汇总各行业主管部门报送的名单后，提交市总部经济领导小组会议审定，最后由市政府常务会议决定。未获通过的，由原审核部门书面答复并说明理由</w:t>
      </w:r>
      <w:r>
        <w:rPr>
          <w:rFonts w:hint="eastAsia"/>
          <w:color w:val="333333"/>
        </w:rPr>
        <w:t>。</w:t>
      </w:r>
    </w:p>
    <w:p w:rsidR="00000000" w:rsidRDefault="000833C1">
      <w:pPr>
        <w:shd w:val="clear" w:color="auto" w:fill="FFFFFF"/>
        <w:spacing w:before="144" w:after="144"/>
        <w:ind w:firstLine="480"/>
        <w:divId w:val="1542667200"/>
        <w:rPr>
          <w:rFonts w:hint="eastAsia"/>
          <w:color w:val="333333"/>
        </w:rPr>
      </w:pPr>
      <w:r>
        <w:rPr>
          <w:rFonts w:hint="eastAsia"/>
          <w:color w:val="333333"/>
        </w:rPr>
        <w:t>十一、审定通过的总部企业名单在汕头市政府门户网站和《汕头日报》等媒体上公示。公示期为</w:t>
      </w:r>
      <w:r>
        <w:rPr>
          <w:rFonts w:hint="eastAsia"/>
          <w:color w:val="333333"/>
        </w:rPr>
        <w:t>7</w:t>
      </w:r>
      <w:r>
        <w:rPr>
          <w:rFonts w:hint="eastAsia"/>
          <w:color w:val="333333"/>
        </w:rPr>
        <w:t>日。对公示有异议的企业，按原程序重新审核决定。</w:t>
      </w:r>
    </w:p>
    <w:p w:rsidR="00000000" w:rsidRDefault="000833C1">
      <w:pPr>
        <w:shd w:val="clear" w:color="auto" w:fill="FFFFFF"/>
        <w:spacing w:before="144" w:after="144"/>
        <w:ind w:firstLine="480"/>
        <w:divId w:val="1542667200"/>
        <w:rPr>
          <w:rFonts w:hint="eastAsia"/>
          <w:color w:val="333333"/>
        </w:rPr>
      </w:pPr>
      <w:r>
        <w:rPr>
          <w:rFonts w:hint="eastAsia"/>
          <w:color w:val="333333"/>
        </w:rPr>
        <w:t>十二、经公示无异议的总部企业名单，由市政府以公告形式在汕头市政府门户网站和《汕头日报》等媒体上刊发，并向经认定企业授予总部企业证书，证书有效期</w:t>
      </w:r>
      <w:r>
        <w:rPr>
          <w:rFonts w:hint="eastAsia"/>
          <w:color w:val="333333"/>
        </w:rPr>
        <w:t>5</w:t>
      </w:r>
      <w:r>
        <w:rPr>
          <w:rFonts w:hint="eastAsia"/>
          <w:color w:val="333333"/>
        </w:rPr>
        <w:t>年。</w:t>
      </w:r>
    </w:p>
    <w:p w:rsidR="00000000" w:rsidRDefault="000833C1">
      <w:pPr>
        <w:shd w:val="clear" w:color="auto" w:fill="FFFFFF"/>
        <w:spacing w:before="144" w:after="144"/>
        <w:ind w:firstLine="480"/>
        <w:jc w:val="center"/>
        <w:divId w:val="1542667200"/>
        <w:rPr>
          <w:rFonts w:hint="eastAsia"/>
          <w:color w:val="333333"/>
        </w:rPr>
      </w:pPr>
      <w:r>
        <w:rPr>
          <w:rStyle w:val="a5"/>
          <w:rFonts w:hint="eastAsia"/>
          <w:color w:val="333333"/>
        </w:rPr>
        <w:t>第四章　总部企业的管理与调整</w:t>
      </w:r>
    </w:p>
    <w:p w:rsidR="00000000" w:rsidRDefault="000833C1">
      <w:pPr>
        <w:shd w:val="clear" w:color="auto" w:fill="FFFFFF"/>
        <w:spacing w:before="144" w:after="144"/>
        <w:ind w:firstLine="480"/>
        <w:divId w:val="1542667200"/>
        <w:rPr>
          <w:rFonts w:hint="eastAsia"/>
          <w:color w:val="333333"/>
        </w:rPr>
      </w:pPr>
      <w:r>
        <w:rPr>
          <w:rFonts w:hint="eastAsia"/>
          <w:color w:val="333333"/>
        </w:rPr>
        <w:t>十三、经认定的总部企业，可以享受《意见》中对总部企业的优惠扶持政策。</w:t>
      </w:r>
    </w:p>
    <w:p w:rsidR="00000000" w:rsidRDefault="000833C1">
      <w:pPr>
        <w:shd w:val="clear" w:color="auto" w:fill="FFFFFF"/>
        <w:spacing w:before="144" w:after="144"/>
        <w:ind w:firstLine="480"/>
        <w:divId w:val="1542667200"/>
        <w:rPr>
          <w:rFonts w:hint="eastAsia"/>
          <w:color w:val="333333"/>
        </w:rPr>
      </w:pPr>
      <w:r>
        <w:rPr>
          <w:rFonts w:hint="eastAsia"/>
          <w:color w:val="333333"/>
        </w:rPr>
        <w:t>十四、各行业主管部门每</w:t>
      </w:r>
      <w:r>
        <w:rPr>
          <w:rFonts w:hint="eastAsia"/>
          <w:color w:val="333333"/>
        </w:rPr>
        <w:t>5</w:t>
      </w:r>
      <w:r>
        <w:rPr>
          <w:rFonts w:hint="eastAsia"/>
          <w:color w:val="333333"/>
        </w:rPr>
        <w:t>年对已认定的总部企业进行复核（按新设立企业标准申请认定的总部企业，在复核时按现有企业的标准重新审核认</w:t>
      </w:r>
      <w:r>
        <w:rPr>
          <w:rFonts w:hint="eastAsia"/>
          <w:color w:val="333333"/>
        </w:rPr>
        <w:t>定），并将有关复核情况报送市总部经济领导小组办公室。市总部经济领导小组办公室汇总并报市总部经济领导小组会议审定。</w:t>
      </w:r>
    </w:p>
    <w:p w:rsidR="00000000" w:rsidRDefault="000833C1">
      <w:pPr>
        <w:shd w:val="clear" w:color="auto" w:fill="FFFFFF"/>
        <w:spacing w:before="144" w:after="144"/>
        <w:ind w:firstLine="480"/>
        <w:divId w:val="1542667200"/>
        <w:rPr>
          <w:rFonts w:hint="eastAsia"/>
          <w:color w:val="333333"/>
        </w:rPr>
      </w:pPr>
      <w:r>
        <w:rPr>
          <w:rFonts w:hint="eastAsia"/>
          <w:color w:val="333333"/>
        </w:rPr>
        <w:t>十五、对已认定的总部企业，上年度因违法行为受到行政或刑事处罚，或经复核不再符合认定条件的，经市总部经济领导小组同意，并经市政府常务会议决定，取消其总部企业资格并以公告形式在汕头市政府门户网站和《汕头日报》等媒体上刊发，停止享受相关优惠扶持政策。</w:t>
      </w:r>
    </w:p>
    <w:p w:rsidR="00000000" w:rsidRDefault="000833C1">
      <w:pPr>
        <w:shd w:val="clear" w:color="auto" w:fill="FFFFFF"/>
        <w:spacing w:before="144" w:after="144"/>
        <w:ind w:firstLine="480"/>
        <w:divId w:val="1542667200"/>
        <w:rPr>
          <w:rFonts w:hint="eastAsia"/>
          <w:color w:val="333333"/>
        </w:rPr>
      </w:pPr>
      <w:r>
        <w:rPr>
          <w:rFonts w:hint="eastAsia"/>
          <w:color w:val="333333"/>
        </w:rPr>
        <w:t>十六、经认定的总部企业发生更名或减资、主营项目变动、迁移、合并分立等重大调整的，应在办理相关手续后</w:t>
      </w:r>
      <w:r>
        <w:rPr>
          <w:rFonts w:hint="eastAsia"/>
          <w:color w:val="333333"/>
        </w:rPr>
        <w:t>10</w:t>
      </w:r>
      <w:r>
        <w:rPr>
          <w:rFonts w:hint="eastAsia"/>
          <w:color w:val="333333"/>
        </w:rPr>
        <w:t>个工作日内将相关情况报送行业主管部门及市总部经济领</w:t>
      </w:r>
      <w:r>
        <w:rPr>
          <w:rFonts w:hint="eastAsia"/>
          <w:color w:val="333333"/>
        </w:rPr>
        <w:t>导小组办公室。市总部经济领导小组办公室汇总后报市总部经济领导小组审核确认，并公告和重新换发认定证书。</w:t>
      </w:r>
    </w:p>
    <w:p w:rsidR="00000000" w:rsidRDefault="000833C1">
      <w:pPr>
        <w:shd w:val="clear" w:color="auto" w:fill="FFFFFF"/>
        <w:spacing w:before="144" w:after="144"/>
        <w:ind w:firstLine="480"/>
        <w:divId w:val="1542667200"/>
        <w:rPr>
          <w:rFonts w:hint="eastAsia"/>
          <w:color w:val="333333"/>
        </w:rPr>
      </w:pPr>
      <w:r>
        <w:rPr>
          <w:rFonts w:hint="eastAsia"/>
          <w:color w:val="333333"/>
        </w:rPr>
        <w:t>十七、企业上报的申请材料和内容应真实可靠。提供虚假材料的，经核实后，两年内不再具备申请认定总部企业资格；已认定为总部企业的，取消其总部企业资格，收回其总部企业认定证书，责令其全额退回所得总部扶持资金，同时记入企业信用信息档案，并对外公告；情节严重和社会影响恶劣的，将依法追究相关责任人的责任。</w:t>
      </w:r>
    </w:p>
    <w:p w:rsidR="00000000" w:rsidRDefault="000833C1">
      <w:pPr>
        <w:shd w:val="clear" w:color="auto" w:fill="FFFFFF"/>
        <w:spacing w:before="144" w:after="144"/>
        <w:ind w:firstLine="480"/>
        <w:jc w:val="center"/>
        <w:divId w:val="1542667200"/>
        <w:rPr>
          <w:rFonts w:hint="eastAsia"/>
          <w:color w:val="333333"/>
        </w:rPr>
      </w:pPr>
      <w:r>
        <w:rPr>
          <w:rStyle w:val="a5"/>
          <w:rFonts w:hint="eastAsia"/>
          <w:color w:val="333333"/>
        </w:rPr>
        <w:t>第五章　附　则</w:t>
      </w:r>
    </w:p>
    <w:p w:rsidR="00000000" w:rsidRDefault="000833C1">
      <w:pPr>
        <w:shd w:val="clear" w:color="auto" w:fill="FFFFFF"/>
        <w:spacing w:before="144" w:after="144"/>
        <w:ind w:firstLine="480"/>
        <w:divId w:val="1542667200"/>
        <w:rPr>
          <w:rFonts w:hint="eastAsia"/>
          <w:color w:val="333333"/>
        </w:rPr>
      </w:pPr>
      <w:r>
        <w:rPr>
          <w:rFonts w:hint="eastAsia"/>
          <w:color w:val="333333"/>
        </w:rPr>
        <w:t xml:space="preserve">十八、本办法涉及的“世界　</w:t>
      </w:r>
      <w:r>
        <w:rPr>
          <w:rFonts w:hint="eastAsia"/>
          <w:color w:val="333333"/>
        </w:rPr>
        <w:t>500</w:t>
      </w:r>
      <w:r>
        <w:rPr>
          <w:rFonts w:hint="eastAsia"/>
          <w:color w:val="333333"/>
        </w:rPr>
        <w:t xml:space="preserve">强”企业按美国《财富》杂志发布名单认定；“中国　</w:t>
      </w:r>
      <w:r>
        <w:rPr>
          <w:rFonts w:hint="eastAsia"/>
          <w:color w:val="333333"/>
        </w:rPr>
        <w:t>500</w:t>
      </w:r>
      <w:r>
        <w:rPr>
          <w:rFonts w:hint="eastAsia"/>
          <w:color w:val="333333"/>
        </w:rPr>
        <w:t>强”企业按中国</w:t>
      </w:r>
      <w:r>
        <w:rPr>
          <w:rFonts w:hint="eastAsia"/>
          <w:color w:val="333333"/>
        </w:rPr>
        <w:t>企业联合会、中国企业家协会发布名单认定；“中央直管企业”按国务院国资委公布名单认定。以上名单均以认定</w:t>
      </w:r>
      <w:proofErr w:type="gramStart"/>
      <w:r>
        <w:rPr>
          <w:rFonts w:hint="eastAsia"/>
          <w:color w:val="333333"/>
        </w:rPr>
        <w:t>前最近</w:t>
      </w:r>
      <w:proofErr w:type="gramEnd"/>
      <w:r>
        <w:rPr>
          <w:rFonts w:hint="eastAsia"/>
          <w:color w:val="333333"/>
        </w:rPr>
        <w:t>一次公布的结果为准。</w:t>
      </w:r>
    </w:p>
    <w:p w:rsidR="00000000" w:rsidRDefault="000833C1">
      <w:pPr>
        <w:shd w:val="clear" w:color="auto" w:fill="FFFFFF"/>
        <w:spacing w:before="144" w:after="144"/>
        <w:ind w:firstLine="480"/>
        <w:divId w:val="1542667200"/>
        <w:rPr>
          <w:rFonts w:hint="eastAsia"/>
          <w:color w:val="333333"/>
        </w:rPr>
      </w:pPr>
      <w:r>
        <w:rPr>
          <w:rFonts w:hint="eastAsia"/>
          <w:color w:val="333333"/>
        </w:rPr>
        <w:t>十九、外商投资企业注册资本为外币时，以企业申请认定时现行外汇平均率为基准折算为人民币。</w:t>
      </w:r>
    </w:p>
    <w:p w:rsidR="00000000" w:rsidRDefault="000833C1">
      <w:pPr>
        <w:shd w:val="clear" w:color="auto" w:fill="FFFFFF"/>
        <w:spacing w:before="144" w:after="144"/>
        <w:ind w:firstLine="480"/>
        <w:divId w:val="1542667200"/>
        <w:rPr>
          <w:rFonts w:hint="eastAsia"/>
          <w:color w:val="333333"/>
        </w:rPr>
      </w:pPr>
      <w:r>
        <w:rPr>
          <w:rFonts w:hint="eastAsia"/>
          <w:color w:val="333333"/>
        </w:rPr>
        <w:t>二十、现有企业指</w:t>
      </w:r>
      <w:r>
        <w:rPr>
          <w:rFonts w:hint="eastAsia"/>
          <w:color w:val="333333"/>
        </w:rPr>
        <w:t>2011</w:t>
      </w:r>
      <w:r>
        <w:rPr>
          <w:rFonts w:hint="eastAsia"/>
          <w:color w:val="333333"/>
        </w:rPr>
        <w:t>年</w:t>
      </w:r>
      <w:r>
        <w:rPr>
          <w:rFonts w:hint="eastAsia"/>
          <w:color w:val="333333"/>
        </w:rPr>
        <w:t>11</w:t>
      </w:r>
      <w:r>
        <w:rPr>
          <w:rFonts w:hint="eastAsia"/>
          <w:color w:val="333333"/>
        </w:rPr>
        <w:t>月</w:t>
      </w:r>
      <w:r>
        <w:rPr>
          <w:rFonts w:hint="eastAsia"/>
          <w:color w:val="333333"/>
        </w:rPr>
        <w:t>30</w:t>
      </w:r>
      <w:r>
        <w:rPr>
          <w:rFonts w:hint="eastAsia"/>
          <w:color w:val="333333"/>
        </w:rPr>
        <w:t>日前设立企业，之后设立为新设立企业。</w:t>
      </w:r>
    </w:p>
    <w:p w:rsidR="00000000" w:rsidRDefault="000833C1">
      <w:pPr>
        <w:shd w:val="clear" w:color="auto" w:fill="FFFFFF"/>
        <w:spacing w:before="144" w:after="144"/>
        <w:ind w:firstLine="480"/>
        <w:divId w:val="1542667200"/>
        <w:rPr>
          <w:rFonts w:hint="eastAsia"/>
          <w:color w:val="333333"/>
        </w:rPr>
      </w:pPr>
      <w:r>
        <w:rPr>
          <w:rFonts w:hint="eastAsia"/>
          <w:color w:val="333333"/>
        </w:rPr>
        <w:t>二十一、本办法自</w:t>
      </w:r>
      <w:r>
        <w:rPr>
          <w:rFonts w:hint="eastAsia"/>
          <w:color w:val="333333"/>
        </w:rPr>
        <w:t>2015</w:t>
      </w:r>
      <w:r>
        <w:rPr>
          <w:rFonts w:hint="eastAsia"/>
          <w:color w:val="333333"/>
        </w:rPr>
        <w:t>年</w:t>
      </w:r>
      <w:r>
        <w:rPr>
          <w:rFonts w:hint="eastAsia"/>
          <w:color w:val="333333"/>
        </w:rPr>
        <w:t>12</w:t>
      </w:r>
      <w:r>
        <w:rPr>
          <w:rFonts w:hint="eastAsia"/>
          <w:color w:val="333333"/>
        </w:rPr>
        <w:t>月</w:t>
      </w:r>
      <w:r>
        <w:rPr>
          <w:rFonts w:hint="eastAsia"/>
          <w:color w:val="333333"/>
        </w:rPr>
        <w:t>4</w:t>
      </w:r>
      <w:r>
        <w:rPr>
          <w:rFonts w:hint="eastAsia"/>
          <w:color w:val="333333"/>
        </w:rPr>
        <w:t>日起实施，有效期至</w:t>
      </w:r>
      <w:r>
        <w:rPr>
          <w:rFonts w:hint="eastAsia"/>
          <w:color w:val="333333"/>
        </w:rPr>
        <w:t>2020</w:t>
      </w:r>
      <w:r>
        <w:rPr>
          <w:rFonts w:hint="eastAsia"/>
          <w:color w:val="333333"/>
        </w:rPr>
        <w:t>年</w:t>
      </w:r>
      <w:r>
        <w:rPr>
          <w:rFonts w:hint="eastAsia"/>
          <w:color w:val="333333"/>
        </w:rPr>
        <w:t>12</w:t>
      </w:r>
      <w:r>
        <w:rPr>
          <w:rFonts w:hint="eastAsia"/>
          <w:color w:val="333333"/>
        </w:rPr>
        <w:t>月</w:t>
      </w:r>
      <w:r>
        <w:rPr>
          <w:rFonts w:hint="eastAsia"/>
          <w:color w:val="333333"/>
        </w:rPr>
        <w:t>3</w:t>
      </w:r>
      <w:r>
        <w:rPr>
          <w:rFonts w:hint="eastAsia"/>
          <w:color w:val="333333"/>
        </w:rPr>
        <w:t>日止。由市</w:t>
      </w:r>
      <w:proofErr w:type="gramStart"/>
      <w:r>
        <w:rPr>
          <w:rFonts w:hint="eastAsia"/>
          <w:color w:val="333333"/>
        </w:rPr>
        <w:t>发改局</w:t>
      </w:r>
      <w:proofErr w:type="gramEnd"/>
      <w:r>
        <w:rPr>
          <w:rFonts w:hint="eastAsia"/>
          <w:color w:val="333333"/>
        </w:rPr>
        <w:t>负责解释。有效期届满，经评估认为需要继续施行的，根据评估情况重新修订。</w:t>
      </w:r>
    </w:p>
    <w:p w:rsidR="00000000" w:rsidRDefault="000833C1" w:rsidP="000833C1">
      <w:pPr>
        <w:shd w:val="clear" w:color="auto" w:fill="FFFFFF"/>
        <w:spacing w:line="288" w:lineRule="atLeast"/>
        <w:divId w:val="877006337"/>
        <w:rPr>
          <w:rFonts w:ascii="微软雅黑" w:eastAsia="微软雅黑" w:hAnsi="微软雅黑" w:hint="eastAsia"/>
          <w:color w:val="000000"/>
          <w:sz w:val="14"/>
          <w:szCs w:val="14"/>
        </w:rPr>
      </w:pPr>
      <w:r>
        <w:rPr>
          <w:rFonts w:ascii="微软雅黑" w:eastAsia="微软雅黑" w:hAnsi="微软雅黑" w:hint="eastAsia"/>
          <w:b/>
          <w:bCs/>
          <w:color w:val="333333"/>
          <w:sz w:val="14"/>
          <w:szCs w:val="14"/>
        </w:rPr>
        <w:t>相关附件：</w:t>
      </w:r>
      <w:r>
        <w:rPr>
          <w:rFonts w:ascii="微软雅黑" w:eastAsia="微软雅黑" w:hAnsi="微软雅黑" w:hint="eastAsia"/>
          <w:color w:val="000000"/>
          <w:sz w:val="14"/>
          <w:szCs w:val="14"/>
        </w:rPr>
        <w:t>申请表格</w:t>
      </w:r>
    </w:p>
    <w:p w:rsidR="00000000" w:rsidRDefault="000833C1">
      <w:pPr>
        <w:shd w:val="clear" w:color="auto" w:fill="FFFFFF"/>
        <w:jc w:val="right"/>
        <w:divId w:val="1692144973"/>
        <w:rPr>
          <w:rFonts w:ascii="微软雅黑" w:eastAsia="微软雅黑" w:hAnsi="微软雅黑" w:hint="eastAsia"/>
          <w:color w:val="000000"/>
          <w:sz w:val="14"/>
          <w:szCs w:val="14"/>
        </w:rPr>
      </w:pPr>
    </w:p>
    <w:sectPr w:rsidR="00000000">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3C1" w:rsidRDefault="000833C1" w:rsidP="000833C1">
      <w:r>
        <w:separator/>
      </w:r>
    </w:p>
  </w:endnote>
  <w:endnote w:type="continuationSeparator" w:id="0">
    <w:p w:rsidR="000833C1" w:rsidRDefault="000833C1" w:rsidP="000833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3C1" w:rsidRDefault="000833C1" w:rsidP="000833C1">
      <w:r>
        <w:separator/>
      </w:r>
    </w:p>
  </w:footnote>
  <w:footnote w:type="continuationSeparator" w:id="0">
    <w:p w:rsidR="000833C1" w:rsidRDefault="000833C1" w:rsidP="000833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25266"/>
    <w:multiLevelType w:val="multilevel"/>
    <w:tmpl w:val="27CA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322B3"/>
    <w:multiLevelType w:val="multilevel"/>
    <w:tmpl w:val="C2B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
  <w:rsids>
    <w:rsidRoot w:val="00AF5BC4"/>
    <w:rsid w:val="000833C1"/>
    <w:rsid w:val="00AF5B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00"/>
      <w:u w:val="none"/>
      <w:effect w:val="none"/>
    </w:rPr>
  </w:style>
  <w:style w:type="character" w:styleId="a4">
    <w:name w:val="FollowedHyperlink"/>
    <w:basedOn w:val="a0"/>
    <w:uiPriority w:val="99"/>
    <w:semiHidden/>
    <w:unhideWhenUsed/>
    <w:rPr>
      <w:strike w:val="0"/>
      <w:dstrike w:val="0"/>
      <w:color w:val="000000"/>
      <w:u w:val="none"/>
      <w:effect w:val="none"/>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 w:type="paragraph" w:customStyle="1" w:styleId="transparent">
    <w:name w:val="transparent"/>
    <w:basedOn w:val="a"/>
    <w:pPr>
      <w:spacing w:before="100" w:beforeAutospacing="1" w:after="100" w:afterAutospacing="1"/>
    </w:pPr>
  </w:style>
  <w:style w:type="paragraph" w:customStyle="1" w:styleId="cl">
    <w:name w:val="cl"/>
    <w:basedOn w:val="a"/>
    <w:pPr>
      <w:spacing w:before="100" w:beforeAutospacing="1" w:after="100" w:afterAutospacing="1"/>
    </w:pPr>
  </w:style>
  <w:style w:type="paragraph" w:customStyle="1" w:styleId="col33">
    <w:name w:val="col33"/>
    <w:basedOn w:val="a"/>
    <w:pPr>
      <w:spacing w:before="100" w:beforeAutospacing="1" w:after="100" w:afterAutospacing="1"/>
    </w:pPr>
    <w:rPr>
      <w:color w:val="333333"/>
    </w:rPr>
  </w:style>
  <w:style w:type="paragraph" w:customStyle="1" w:styleId="fwr">
    <w:name w:val="fwr"/>
    <w:basedOn w:val="a"/>
    <w:pPr>
      <w:spacing w:before="100" w:beforeAutospacing="1" w:after="100" w:afterAutospacing="1"/>
    </w:pPr>
    <w:rPr>
      <w:rFonts w:ascii="微软雅黑" w:eastAsia="微软雅黑" w:hAnsi="微软雅黑"/>
    </w:rPr>
  </w:style>
  <w:style w:type="paragraph" w:customStyle="1" w:styleId="fz14">
    <w:name w:val="fz14"/>
    <w:basedOn w:val="a"/>
    <w:pPr>
      <w:spacing w:before="100" w:beforeAutospacing="1" w:after="100" w:afterAutospacing="1"/>
    </w:pPr>
    <w:rPr>
      <w:sz w:val="17"/>
      <w:szCs w:val="17"/>
    </w:rPr>
  </w:style>
  <w:style w:type="paragraph" w:customStyle="1" w:styleId="zwgkbannergkml">
    <w:name w:val="zwgk_banner_gkml"/>
    <w:basedOn w:val="a"/>
    <w:pPr>
      <w:spacing w:before="100" w:beforeAutospacing="1" w:after="100" w:afterAutospacing="1"/>
    </w:pPr>
  </w:style>
  <w:style w:type="paragraph" w:customStyle="1" w:styleId="zwgkbannergkzn">
    <w:name w:val="zwgk_banner_gkzn"/>
    <w:basedOn w:val="a"/>
    <w:pPr>
      <w:spacing w:before="100" w:beforeAutospacing="1" w:after="100" w:afterAutospacing="1"/>
    </w:pPr>
  </w:style>
  <w:style w:type="paragraph" w:customStyle="1" w:styleId="zwgkbannergknb">
    <w:name w:val="zwgk_banner_gknb"/>
    <w:basedOn w:val="a"/>
    <w:pPr>
      <w:spacing w:before="100" w:beforeAutospacing="1" w:after="100" w:afterAutospacing="1"/>
    </w:pPr>
  </w:style>
  <w:style w:type="paragraph" w:customStyle="1" w:styleId="zwgkbannergkysq">
    <w:name w:val="zwgk_banner_gkysq"/>
    <w:basedOn w:val="a"/>
    <w:pPr>
      <w:spacing w:before="100" w:beforeAutospacing="1" w:after="100" w:afterAutospacing="1"/>
    </w:pPr>
  </w:style>
  <w:style w:type="paragraph" w:customStyle="1" w:styleId="zwgkbannergkyjx">
    <w:name w:val="zwgk_banner_gkyjx"/>
    <w:basedOn w:val="a"/>
    <w:pPr>
      <w:spacing w:before="100" w:beforeAutospacing="1" w:after="100" w:afterAutospacing="1"/>
    </w:pPr>
  </w:style>
  <w:style w:type="paragraph" w:customStyle="1" w:styleId="zwgkgdgovsearch">
    <w:name w:val="zwgk_gdgov_search"/>
    <w:basedOn w:val="a"/>
    <w:pPr>
      <w:pBdr>
        <w:top w:val="single" w:sz="48" w:space="15" w:color="E8F6F9"/>
        <w:left w:val="single" w:sz="48" w:space="6" w:color="E8F6F9"/>
        <w:bottom w:val="single" w:sz="48" w:space="9" w:color="E8F6F9"/>
        <w:right w:val="single" w:sz="48" w:space="6" w:color="E8F6F9"/>
      </w:pBdr>
      <w:shd w:val="clear" w:color="auto" w:fill="FFFFFF"/>
      <w:spacing w:before="100" w:beforeAutospacing="1" w:after="100" w:afterAutospacing="1"/>
      <w:jc w:val="center"/>
    </w:pPr>
  </w:style>
  <w:style w:type="paragraph" w:customStyle="1" w:styleId="zwgkmax">
    <w:name w:val="zwgk_max"/>
    <w:basedOn w:val="a"/>
    <w:pPr>
      <w:shd w:val="clear" w:color="auto" w:fill="FFFFFF"/>
      <w:spacing w:before="100" w:beforeAutospacing="1" w:after="100" w:afterAutospacing="1"/>
    </w:pPr>
  </w:style>
  <w:style w:type="paragraph" w:customStyle="1" w:styleId="zwgkleft">
    <w:name w:val="zwgk_left"/>
    <w:basedOn w:val="a"/>
    <w:pPr>
      <w:spacing w:before="100" w:beforeAutospacing="1" w:after="100" w:afterAutospacing="1"/>
    </w:pPr>
  </w:style>
  <w:style w:type="paragraph" w:customStyle="1" w:styleId="zwgkright">
    <w:name w:val="zwgk_right"/>
    <w:basedOn w:val="a"/>
    <w:pPr>
      <w:spacing w:before="100" w:beforeAutospacing="1" w:after="100" w:afterAutospacing="1"/>
    </w:pPr>
  </w:style>
  <w:style w:type="paragraph" w:customStyle="1" w:styleId="pagelisttop">
    <w:name w:val="page_list_top"/>
    <w:basedOn w:val="a"/>
    <w:pPr>
      <w:pBdr>
        <w:top w:val="single" w:sz="24" w:space="2" w:color="FFFFFF"/>
        <w:left w:val="single" w:sz="24" w:space="2" w:color="FFFFFF"/>
        <w:bottom w:val="single" w:sz="24" w:space="2" w:color="FFFFFF"/>
        <w:right w:val="single" w:sz="24" w:space="2" w:color="FFFFFF"/>
      </w:pBdr>
      <w:shd w:val="clear" w:color="auto" w:fill="FFFFFF"/>
      <w:spacing w:before="100" w:beforeAutospacing="1" w:after="100" w:afterAutospacing="1"/>
    </w:pPr>
  </w:style>
  <w:style w:type="paragraph" w:customStyle="1" w:styleId="pagelisttle">
    <w:name w:val="page_list_tle"/>
    <w:basedOn w:val="a"/>
    <w:pPr>
      <w:pBdr>
        <w:bottom w:val="single" w:sz="12" w:space="0" w:color="049CF2"/>
      </w:pBdr>
      <w:spacing w:before="100" w:beforeAutospacing="1" w:after="100" w:afterAutospacing="1"/>
    </w:pPr>
  </w:style>
  <w:style w:type="paragraph" w:customStyle="1" w:styleId="pagelistmax">
    <w:name w:val="page_list_max"/>
    <w:basedOn w:val="a"/>
    <w:pPr>
      <w:pBdr>
        <w:top w:val="single" w:sz="4" w:space="0" w:color="BADBEE"/>
        <w:left w:val="single" w:sz="4" w:space="0" w:color="BADBEE"/>
        <w:right w:val="single" w:sz="4" w:space="0" w:color="BADBEE"/>
      </w:pBdr>
      <w:shd w:val="clear" w:color="auto" w:fill="FFFFFF"/>
      <w:spacing w:before="100" w:beforeAutospacing="1" w:after="100" w:afterAutospacing="1"/>
    </w:pPr>
  </w:style>
  <w:style w:type="paragraph" w:customStyle="1" w:styleId="pagelistshow">
    <w:name w:val="page_list_show"/>
    <w:basedOn w:val="a"/>
    <w:pPr>
      <w:spacing w:before="100" w:beforeAutospacing="1" w:after="100" w:afterAutospacing="1"/>
    </w:pPr>
  </w:style>
  <w:style w:type="paragraph" w:customStyle="1" w:styleId="pagelistpage">
    <w:name w:val="page_list_page"/>
    <w:basedOn w:val="a"/>
    <w:pPr>
      <w:shd w:val="clear" w:color="auto" w:fill="FFFFFF"/>
      <w:spacing w:before="100" w:beforeAutospacing="1" w:after="100" w:afterAutospacing="1" w:line="240" w:lineRule="atLeast"/>
      <w:jc w:val="center"/>
    </w:pPr>
  </w:style>
  <w:style w:type="paragraph" w:customStyle="1" w:styleId="pagelmtle">
    <w:name w:val="page_lm_tle"/>
    <w:basedOn w:val="a"/>
    <w:pPr>
      <w:spacing w:before="100" w:beforeAutospacing="1" w:after="100" w:afterAutospacing="1" w:line="324" w:lineRule="atLeast"/>
    </w:pPr>
  </w:style>
  <w:style w:type="paragraph" w:customStyle="1" w:styleId="pagelmcon">
    <w:name w:val="page_lm_con"/>
    <w:basedOn w:val="a"/>
    <w:pPr>
      <w:spacing w:before="100" w:beforeAutospacing="1" w:after="100" w:afterAutospacing="1" w:line="264" w:lineRule="atLeast"/>
    </w:pPr>
    <w:rPr>
      <w:sz w:val="17"/>
      <w:szCs w:val="17"/>
    </w:rPr>
  </w:style>
  <w:style w:type="paragraph" w:customStyle="1" w:styleId="pagesearch">
    <w:name w:val="page_search"/>
    <w:basedOn w:val="a"/>
    <w:pPr>
      <w:spacing w:before="100" w:beforeAutospacing="1" w:after="100" w:afterAutospacing="1"/>
    </w:pPr>
  </w:style>
  <w:style w:type="paragraph" w:customStyle="1" w:styleId="pagenum">
    <w:name w:val="page_num"/>
    <w:basedOn w:val="a"/>
    <w:pPr>
      <w:shd w:val="clear" w:color="auto" w:fill="FFFFFF"/>
      <w:spacing w:before="100" w:beforeAutospacing="1" w:after="100" w:afterAutospacing="1"/>
    </w:pPr>
  </w:style>
  <w:style w:type="paragraph" w:customStyle="1" w:styleId="contentmax">
    <w:name w:val="content_max"/>
    <w:basedOn w:val="a"/>
    <w:pPr>
      <w:pBdr>
        <w:top w:val="single" w:sz="12" w:space="0" w:color="DFF1FB"/>
        <w:left w:val="single" w:sz="12" w:space="0" w:color="DFF1FB"/>
        <w:bottom w:val="single" w:sz="12" w:space="0" w:color="DFF1FB"/>
        <w:right w:val="single" w:sz="12" w:space="0" w:color="DFF1FB"/>
      </w:pBdr>
      <w:shd w:val="clear" w:color="auto" w:fill="FFFFFF"/>
      <w:spacing w:before="96" w:after="96"/>
    </w:pPr>
  </w:style>
  <w:style w:type="paragraph" w:customStyle="1" w:styleId="contentshow">
    <w:name w:val="content_show"/>
    <w:basedOn w:val="a"/>
    <w:pPr>
      <w:shd w:val="clear" w:color="auto" w:fill="FFFFFF"/>
      <w:spacing w:before="100" w:beforeAutospacing="1" w:after="100" w:afterAutospacing="1"/>
    </w:pPr>
  </w:style>
  <w:style w:type="paragraph" w:customStyle="1" w:styleId="gdgovssdiv">
    <w:name w:val="gdgov_ss_div"/>
    <w:basedOn w:val="a"/>
    <w:pPr>
      <w:spacing w:before="100" w:beforeAutospacing="1" w:after="100" w:afterAutospacing="1"/>
    </w:pPr>
  </w:style>
  <w:style w:type="paragraph" w:customStyle="1" w:styleId="gdgovssbar">
    <w:name w:val="gdgov_ss_bar"/>
    <w:basedOn w:val="a"/>
    <w:pPr>
      <w:spacing w:before="100" w:beforeAutospacing="1" w:after="100" w:afterAutospacing="1" w:line="420" w:lineRule="atLeast"/>
    </w:pPr>
  </w:style>
  <w:style w:type="paragraph" w:customStyle="1" w:styleId="ysqcxbar">
    <w:name w:val="ysqcx_bar"/>
    <w:basedOn w:val="a"/>
    <w:pPr>
      <w:spacing w:before="100" w:beforeAutospacing="1" w:after="100" w:afterAutospacing="1"/>
    </w:pPr>
  </w:style>
  <w:style w:type="paragraph" w:customStyle="1" w:styleId="zwgkcite">
    <w:name w:val="zwgk_cite"/>
    <w:basedOn w:val="a"/>
    <w:pPr>
      <w:spacing w:before="100" w:beforeAutospacing="1" w:after="100" w:afterAutospacing="1"/>
    </w:pPr>
  </w:style>
  <w:style w:type="paragraph" w:customStyle="1" w:styleId="mainmaxs">
    <w:name w:val="mainmaxs"/>
    <w:basedOn w:val="a"/>
    <w:pPr>
      <w:shd w:val="clear" w:color="auto" w:fill="FFFFFF"/>
      <w:spacing w:before="100" w:beforeAutospacing="1" w:after="100" w:afterAutospacing="1"/>
    </w:pPr>
  </w:style>
  <w:style w:type="paragraph" w:customStyle="1" w:styleId="mainpages">
    <w:name w:val="mainpages"/>
    <w:basedOn w:val="a"/>
    <w:pPr>
      <w:spacing w:before="100" w:beforeAutospacing="1" w:after="100" w:afterAutospacing="1"/>
    </w:pPr>
  </w:style>
  <w:style w:type="paragraph" w:customStyle="1" w:styleId="yjxmax">
    <w:name w:val="yjx_max"/>
    <w:basedOn w:val="a"/>
    <w:pPr>
      <w:spacing w:before="100" w:beforeAutospacing="1" w:after="100" w:afterAutospacing="1"/>
    </w:pPr>
  </w:style>
  <w:style w:type="paragraph" w:customStyle="1" w:styleId="yjxfl">
    <w:name w:val="yjx_fl"/>
    <w:basedOn w:val="a"/>
    <w:pPr>
      <w:spacing w:before="100" w:beforeAutospacing="1" w:after="100" w:afterAutospacing="1"/>
    </w:pPr>
  </w:style>
  <w:style w:type="paragraph" w:customStyle="1" w:styleId="yjxfr">
    <w:name w:val="yjx_fr"/>
    <w:basedOn w:val="a"/>
    <w:pPr>
      <w:spacing w:before="100" w:beforeAutospacing="1" w:after="100" w:afterAutospacing="1"/>
      <w:ind w:left="360"/>
    </w:pPr>
  </w:style>
  <w:style w:type="paragraph" w:customStyle="1" w:styleId="yjxcolmenu">
    <w:name w:val="yjx_col_menu"/>
    <w:basedOn w:val="a"/>
    <w:pPr>
      <w:pBdr>
        <w:left w:val="single" w:sz="4" w:space="0" w:color="CCCCCC"/>
        <w:right w:val="single" w:sz="4" w:space="0" w:color="CCCCCC"/>
      </w:pBdr>
      <w:spacing w:before="100" w:beforeAutospacing="1" w:after="100" w:afterAutospacing="1"/>
      <w:jc w:val="center"/>
    </w:pPr>
  </w:style>
  <w:style w:type="paragraph" w:customStyle="1" w:styleId="yjxcolmain">
    <w:name w:val="yjx_col_main"/>
    <w:basedOn w:val="a"/>
    <w:pPr>
      <w:pBdr>
        <w:left w:val="single" w:sz="4" w:space="0" w:color="CCCCCC"/>
        <w:right w:val="single" w:sz="4" w:space="0" w:color="CCCCCC"/>
      </w:pBdr>
      <w:spacing w:before="100" w:beforeAutospacing="1" w:after="100" w:afterAutospacing="1"/>
    </w:pPr>
  </w:style>
  <w:style w:type="paragraph" w:customStyle="1" w:styleId="yjxtipstle">
    <w:name w:val="yjx_tips_tle"/>
    <w:basedOn w:val="a"/>
    <w:pPr>
      <w:spacing w:before="100" w:beforeAutospacing="1" w:after="100" w:afterAutospacing="1" w:line="324" w:lineRule="atLeast"/>
    </w:pPr>
    <w:rPr>
      <w:rFonts w:ascii="微软雅黑" w:eastAsia="微软雅黑" w:hAnsi="微软雅黑"/>
      <w:b/>
      <w:bCs/>
      <w:color w:val="CC0000"/>
      <w:sz w:val="19"/>
      <w:szCs w:val="19"/>
    </w:rPr>
  </w:style>
  <w:style w:type="paragraph" w:customStyle="1" w:styleId="yjxtipscon">
    <w:name w:val="yjx_tips_con"/>
    <w:basedOn w:val="a"/>
    <w:pPr>
      <w:spacing w:before="100" w:beforeAutospacing="1" w:after="100" w:afterAutospacing="1"/>
    </w:pPr>
    <w:rPr>
      <w:rFonts w:ascii="微软雅黑" w:eastAsia="微软雅黑" w:hAnsi="微软雅黑"/>
      <w:sz w:val="18"/>
      <w:szCs w:val="18"/>
    </w:rPr>
  </w:style>
  <w:style w:type="paragraph" w:customStyle="1" w:styleId="yjxtipsbtn">
    <w:name w:val="yjx_tips_btn"/>
    <w:basedOn w:val="a"/>
    <w:pPr>
      <w:spacing w:before="100" w:beforeAutospacing="1" w:after="100" w:afterAutospacing="1"/>
      <w:jc w:val="center"/>
    </w:pPr>
  </w:style>
  <w:style w:type="paragraph" w:customStyle="1" w:styleId="yjxframe">
    <w:name w:val="yjx_frame"/>
    <w:basedOn w:val="a"/>
    <w:pPr>
      <w:shd w:val="clear" w:color="auto" w:fill="FFFFFF"/>
      <w:spacing w:before="100" w:beforeAutospacing="1" w:after="100" w:afterAutospacing="1"/>
    </w:pPr>
  </w:style>
  <w:style w:type="paragraph" w:customStyle="1" w:styleId="blackoverlay">
    <w:name w:val="black_overlay"/>
    <w:basedOn w:val="a"/>
    <w:pPr>
      <w:shd w:val="clear" w:color="auto" w:fill="000000"/>
      <w:spacing w:before="100" w:beforeAutospacing="1" w:after="100" w:afterAutospacing="1"/>
    </w:pPr>
    <w:rPr>
      <w:vanish/>
    </w:rPr>
  </w:style>
  <w:style w:type="paragraph" w:customStyle="1" w:styleId="floatingbanner">
    <w:name w:val="floating_banner"/>
    <w:basedOn w:val="a"/>
    <w:pPr>
      <w:spacing w:before="100" w:beforeAutospacing="1" w:after="100" w:afterAutospacing="1"/>
      <w:jc w:val="center"/>
    </w:pPr>
    <w:rPr>
      <w:vanish/>
    </w:rPr>
  </w:style>
  <w:style w:type="paragraph" w:customStyle="1" w:styleId="rright">
    <w:name w:val="rright"/>
    <w:basedOn w:val="a"/>
    <w:pPr>
      <w:pBdr>
        <w:top w:val="single" w:sz="4" w:space="0" w:color="EEEEEE"/>
        <w:left w:val="single" w:sz="4" w:space="0" w:color="EEEEEE"/>
        <w:bottom w:val="single" w:sz="4" w:space="6" w:color="EEEEEE"/>
        <w:right w:val="single" w:sz="4" w:space="0" w:color="EEEEEE"/>
      </w:pBdr>
      <w:spacing w:before="100" w:beforeAutospacing="1" w:after="100" w:afterAutospacing="1"/>
    </w:pPr>
  </w:style>
  <w:style w:type="paragraph" w:customStyle="1" w:styleId="bleft">
    <w:name w:val="bleft"/>
    <w:basedOn w:val="a"/>
    <w:pPr>
      <w:shd w:val="clear" w:color="auto" w:fill="F9F9F7"/>
      <w:spacing w:before="100" w:beforeAutospacing="1" w:after="100" w:afterAutospacing="1"/>
    </w:pPr>
  </w:style>
  <w:style w:type="paragraph" w:customStyle="1" w:styleId="xxgk">
    <w:name w:val="xxgk"/>
    <w:basedOn w:val="a"/>
    <w:pPr>
      <w:pBdr>
        <w:top w:val="single" w:sz="4" w:space="0" w:color="CCCCCC"/>
        <w:left w:val="single" w:sz="4" w:space="6" w:color="CCCCCC"/>
        <w:bottom w:val="single" w:sz="4" w:space="0" w:color="CCCCCC"/>
        <w:right w:val="single" w:sz="4" w:space="6" w:color="CCCCCC"/>
      </w:pBdr>
      <w:shd w:val="clear" w:color="auto" w:fill="FFFFFF"/>
      <w:spacing w:before="100" w:beforeAutospacing="1" w:after="100" w:afterAutospacing="1"/>
    </w:pPr>
    <w:rPr>
      <w:vanish/>
      <w:sz w:val="14"/>
      <w:szCs w:val="14"/>
    </w:rPr>
  </w:style>
  <w:style w:type="paragraph" w:customStyle="1" w:styleId="black">
    <w:name w:val="black"/>
    <w:basedOn w:val="a"/>
    <w:pPr>
      <w:spacing w:before="100" w:beforeAutospacing="1" w:after="100" w:afterAutospacing="1"/>
    </w:pPr>
    <w:rPr>
      <w:color w:val="000000"/>
    </w:rPr>
  </w:style>
  <w:style w:type="paragraph" w:customStyle="1" w:styleId="font-b">
    <w:name w:val="font-b"/>
    <w:basedOn w:val="a"/>
    <w:pPr>
      <w:spacing w:before="100" w:beforeAutospacing="1" w:after="100" w:afterAutospacing="1"/>
    </w:pPr>
    <w:rPr>
      <w:b/>
      <w:bCs/>
    </w:rPr>
  </w:style>
  <w:style w:type="paragraph" w:customStyle="1" w:styleId="lin">
    <w:name w:val="lin"/>
    <w:basedOn w:val="a"/>
    <w:pPr>
      <w:spacing w:before="100" w:beforeAutospacing="1" w:after="100" w:afterAutospacing="1" w:line="240" w:lineRule="atLeast"/>
    </w:pPr>
  </w:style>
  <w:style w:type="paragraph" w:customStyle="1" w:styleId="xxgktout">
    <w:name w:val="xxgk_tout"/>
    <w:basedOn w:val="a"/>
    <w:pPr>
      <w:spacing w:before="100" w:beforeAutospacing="1" w:after="100" w:afterAutospacing="1"/>
    </w:pPr>
  </w:style>
  <w:style w:type="paragraph" w:customStyle="1" w:styleId="righth">
    <w:name w:val="right_h"/>
    <w:basedOn w:val="a"/>
    <w:pPr>
      <w:spacing w:before="100" w:beforeAutospacing="1" w:after="100" w:afterAutospacing="1"/>
    </w:pPr>
  </w:style>
  <w:style w:type="paragraph" w:customStyle="1" w:styleId="headtitle02">
    <w:name w:val="head_title02"/>
    <w:basedOn w:val="a"/>
    <w:pPr>
      <w:shd w:val="clear" w:color="auto" w:fill="CEEBF9"/>
      <w:spacing w:before="100" w:beforeAutospacing="1" w:after="100" w:afterAutospacing="1" w:line="408" w:lineRule="atLeast"/>
      <w:jc w:val="center"/>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btnzn">
    <w:name w:val="btn_zn"/>
    <w:basedOn w:val="a"/>
    <w:pPr>
      <w:spacing w:before="100" w:beforeAutospacing="1" w:after="100" w:afterAutospacing="1"/>
    </w:pPr>
  </w:style>
  <w:style w:type="paragraph" w:customStyle="1" w:styleId="ztitle">
    <w:name w:val="z_title"/>
    <w:basedOn w:val="a"/>
    <w:pPr>
      <w:spacing w:before="100" w:beforeAutospacing="1" w:after="100" w:afterAutospacing="1"/>
    </w:pPr>
  </w:style>
  <w:style w:type="paragraph" w:customStyle="1" w:styleId="znav">
    <w:name w:val="z_nav"/>
    <w:basedOn w:val="a"/>
    <w:pPr>
      <w:spacing w:before="100" w:beforeAutospacing="1" w:after="100" w:afterAutospacing="1"/>
    </w:pPr>
  </w:style>
  <w:style w:type="paragraph" w:customStyle="1" w:styleId="zbot">
    <w:name w:val="z_bot"/>
    <w:basedOn w:val="a"/>
    <w:pPr>
      <w:spacing w:before="100" w:beforeAutospacing="1" w:after="100" w:afterAutospacing="1"/>
    </w:pPr>
  </w:style>
  <w:style w:type="paragraph" w:customStyle="1" w:styleId="btnli">
    <w:name w:val="btn_li"/>
    <w:basedOn w:val="a"/>
    <w:pPr>
      <w:spacing w:before="100" w:beforeAutospacing="1" w:after="100" w:afterAutospacing="1"/>
    </w:pPr>
  </w:style>
  <w:style w:type="paragraph" w:customStyle="1" w:styleId="fr1">
    <w:name w:val="f_r1"/>
    <w:basedOn w:val="a"/>
    <w:pPr>
      <w:spacing w:before="100" w:beforeAutospacing="1" w:after="100" w:afterAutospacing="1"/>
    </w:pPr>
  </w:style>
  <w:style w:type="paragraph" w:customStyle="1" w:styleId="fr2">
    <w:name w:val="f_r2"/>
    <w:basedOn w:val="a"/>
    <w:pPr>
      <w:spacing w:before="100" w:beforeAutospacing="1" w:after="100" w:afterAutospacing="1"/>
    </w:pPr>
  </w:style>
  <w:style w:type="paragraph" w:customStyle="1" w:styleId="ftitle">
    <w:name w:val="f_title"/>
    <w:basedOn w:val="a"/>
    <w:pPr>
      <w:spacing w:before="100" w:beforeAutospacing="1" w:after="100" w:afterAutospacing="1"/>
    </w:pPr>
  </w:style>
  <w:style w:type="paragraph" w:customStyle="1" w:styleId="fcurrent">
    <w:name w:val="f_current"/>
    <w:basedOn w:val="a"/>
    <w:pPr>
      <w:spacing w:before="100" w:beforeAutospacing="1" w:after="100" w:afterAutospacing="1"/>
    </w:pPr>
  </w:style>
  <w:style w:type="paragraph" w:customStyle="1" w:styleId="borderr">
    <w:name w:val="border_r"/>
    <w:basedOn w:val="a"/>
    <w:pPr>
      <w:spacing w:before="100" w:beforeAutospacing="1" w:after="100" w:afterAutospacing="1"/>
    </w:pPr>
  </w:style>
  <w:style w:type="paragraph" w:customStyle="1" w:styleId="headtitle">
    <w:name w:val="head_title"/>
    <w:basedOn w:val="a"/>
    <w:pPr>
      <w:spacing w:before="100" w:beforeAutospacing="1" w:after="100" w:afterAutospacing="1"/>
    </w:pPr>
  </w:style>
  <w:style w:type="paragraph" w:customStyle="1" w:styleId="infotitle">
    <w:name w:val="info_title"/>
    <w:basedOn w:val="a"/>
    <w:pPr>
      <w:spacing w:before="100" w:beforeAutospacing="1" w:after="100" w:afterAutospacing="1"/>
    </w:pPr>
  </w:style>
  <w:style w:type="paragraph" w:customStyle="1" w:styleId="infodate">
    <w:name w:val="info_date"/>
    <w:basedOn w:val="a"/>
    <w:pPr>
      <w:spacing w:before="100" w:beforeAutospacing="1" w:after="100" w:afterAutospacing="1"/>
    </w:pPr>
  </w:style>
  <w:style w:type="paragraph" w:customStyle="1" w:styleId="infowh">
    <w:name w:val="info_wh"/>
    <w:basedOn w:val="a"/>
    <w:pPr>
      <w:spacing w:before="100" w:beforeAutospacing="1" w:after="100" w:afterAutospacing="1"/>
    </w:pPr>
  </w:style>
  <w:style w:type="paragraph" w:customStyle="1" w:styleId="topbannerdiv">
    <w:name w:val="top_banner_div"/>
    <w:basedOn w:val="a"/>
    <w:pPr>
      <w:spacing w:before="100" w:beforeAutospacing="1" w:after="100" w:afterAutospacing="1"/>
    </w:pPr>
  </w:style>
  <w:style w:type="paragraph" w:customStyle="1" w:styleId="topbannerfl">
    <w:name w:val="top_banner_fl"/>
    <w:basedOn w:val="a"/>
    <w:pPr>
      <w:spacing w:before="100" w:beforeAutospacing="1" w:after="100" w:afterAutospacing="1"/>
    </w:pPr>
  </w:style>
  <w:style w:type="paragraph" w:customStyle="1" w:styleId="topbannerfr">
    <w:name w:val="top_banner_fr"/>
    <w:basedOn w:val="a"/>
    <w:pPr>
      <w:spacing w:before="100" w:beforeAutospacing="1" w:after="100" w:afterAutospacing="1"/>
    </w:pPr>
  </w:style>
  <w:style w:type="paragraph" w:customStyle="1" w:styleId="metadata">
    <w:name w:val="metadata"/>
    <w:basedOn w:val="a"/>
    <w:pPr>
      <w:spacing w:before="100" w:beforeAutospacing="1" w:after="100" w:afterAutospacing="1"/>
    </w:pPr>
  </w:style>
  <w:style w:type="paragraph" w:customStyle="1" w:styleId="title">
    <w:name w:val="title"/>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content">
    <w:name w:val="content"/>
    <w:basedOn w:val="a"/>
    <w:pPr>
      <w:spacing w:before="100" w:beforeAutospacing="1" w:after="100" w:afterAutospacing="1"/>
    </w:pPr>
  </w:style>
  <w:style w:type="paragraph" w:customStyle="1" w:styleId="atttitle">
    <w:name w:val="att_title"/>
    <w:basedOn w:val="a"/>
    <w:pPr>
      <w:spacing w:before="100" w:beforeAutospacing="1" w:after="100" w:afterAutospacing="1"/>
    </w:pPr>
  </w:style>
  <w:style w:type="paragraph" w:customStyle="1" w:styleId="attlist">
    <w:name w:val="att_list"/>
    <w:basedOn w:val="a"/>
    <w:pPr>
      <w:spacing w:before="100" w:beforeAutospacing="1" w:after="100" w:afterAutospacing="1"/>
    </w:pPr>
  </w:style>
  <w:style w:type="paragraph" w:customStyle="1" w:styleId="printbtn">
    <w:name w:val="print_btn"/>
    <w:basedOn w:val="a"/>
    <w:pPr>
      <w:spacing w:before="100" w:beforeAutospacing="1" w:after="100" w:afterAutospacing="1"/>
    </w:pPr>
  </w:style>
  <w:style w:type="paragraph" w:customStyle="1" w:styleId="dotline">
    <w:name w:val="dot_line"/>
    <w:basedOn w:val="a"/>
    <w:pPr>
      <w:spacing w:before="100" w:beforeAutospacing="1" w:after="100" w:afterAutospacing="1"/>
    </w:pPr>
  </w:style>
  <w:style w:type="paragraph" w:customStyle="1" w:styleId="searchofinput">
    <w:name w:val="searchofinput"/>
    <w:basedOn w:val="a"/>
    <w:pPr>
      <w:spacing w:before="100" w:beforeAutospacing="1" w:after="100" w:afterAutospacing="1"/>
    </w:pPr>
  </w:style>
  <w:style w:type="paragraph" w:customStyle="1" w:styleId="searchofbutton">
    <w:name w:val="searchofbutton"/>
    <w:basedOn w:val="a"/>
    <w:pPr>
      <w:spacing w:before="100" w:beforeAutospacing="1" w:after="100" w:afterAutospacing="1"/>
    </w:pPr>
  </w:style>
  <w:style w:type="paragraph" w:customStyle="1" w:styleId="searchofadv">
    <w:name w:val="searchofadv"/>
    <w:basedOn w:val="a"/>
    <w:pPr>
      <w:spacing w:before="100" w:beforeAutospacing="1" w:after="100" w:afterAutospacing="1"/>
    </w:pPr>
  </w:style>
  <w:style w:type="paragraph" w:customStyle="1" w:styleId="ysqssofinput">
    <w:name w:val="ysqssofinput"/>
    <w:basedOn w:val="a"/>
    <w:pPr>
      <w:spacing w:before="100" w:beforeAutospacing="1" w:after="100" w:afterAutospacing="1"/>
    </w:pPr>
  </w:style>
  <w:style w:type="paragraph" w:customStyle="1" w:styleId="currentfont">
    <w:name w:val="current_font"/>
    <w:basedOn w:val="a"/>
    <w:pPr>
      <w:spacing w:before="100" w:beforeAutospacing="1" w:after="100" w:afterAutospacing="1"/>
    </w:pPr>
  </w:style>
  <w:style w:type="paragraph" w:customStyle="1" w:styleId="headline">
    <w:name w:val="head_line"/>
    <w:basedOn w:val="a"/>
    <w:pPr>
      <w:spacing w:before="100" w:beforeAutospacing="1" w:after="100" w:afterAutospacing="1"/>
    </w:pPr>
  </w:style>
  <w:style w:type="paragraph" w:customStyle="1" w:styleId="footline">
    <w:name w:val="foot_line"/>
    <w:basedOn w:val="a"/>
    <w:pPr>
      <w:spacing w:before="100" w:beforeAutospacing="1" w:after="100" w:afterAutospacing="1"/>
    </w:pPr>
  </w:style>
  <w:style w:type="paragraph" w:customStyle="1" w:styleId="angle">
    <w:name w:val="angle"/>
    <w:basedOn w:val="a"/>
    <w:pPr>
      <w:spacing w:before="100" w:beforeAutospacing="1" w:after="100" w:afterAutospacing="1"/>
    </w:pPr>
  </w:style>
  <w:style w:type="paragraph" w:customStyle="1" w:styleId="tl">
    <w:name w:val="tl"/>
    <w:basedOn w:val="a"/>
    <w:pPr>
      <w:spacing w:before="100" w:beforeAutospacing="1" w:after="100" w:afterAutospacing="1"/>
    </w:pPr>
  </w:style>
  <w:style w:type="paragraph" w:customStyle="1" w:styleId="tr">
    <w:name w:val="tr"/>
    <w:basedOn w:val="a"/>
    <w:pPr>
      <w:spacing w:before="100" w:beforeAutospacing="1" w:after="100" w:afterAutospacing="1"/>
    </w:pPr>
  </w:style>
  <w:style w:type="paragraph" w:customStyle="1" w:styleId="bl">
    <w:name w:val="bl"/>
    <w:basedOn w:val="a"/>
    <w:pPr>
      <w:spacing w:before="100" w:beforeAutospacing="1" w:after="100" w:afterAutospacing="1"/>
    </w:pPr>
  </w:style>
  <w:style w:type="paragraph" w:customStyle="1" w:styleId="br">
    <w:name w:val="br"/>
    <w:basedOn w:val="a"/>
    <w:pPr>
      <w:spacing w:before="100" w:beforeAutospacing="1" w:after="100" w:afterAutospacing="1"/>
    </w:pPr>
  </w:style>
  <w:style w:type="paragraph" w:customStyle="1" w:styleId="g-pad-head">
    <w:name w:val="g-pad-head"/>
    <w:basedOn w:val="a"/>
    <w:pPr>
      <w:spacing w:before="100" w:beforeAutospacing="1" w:after="100" w:afterAutospacing="1"/>
    </w:pPr>
  </w:style>
  <w:style w:type="paragraph" w:customStyle="1" w:styleId="g-pad-title">
    <w:name w:val="g-pad-title"/>
    <w:basedOn w:val="a"/>
    <w:pPr>
      <w:spacing w:before="100" w:beforeAutospacing="1" w:after="100" w:afterAutospacing="1"/>
    </w:pPr>
  </w:style>
  <w:style w:type="paragraph" w:customStyle="1" w:styleId="g-pad-body">
    <w:name w:val="g-pad-body"/>
    <w:basedOn w:val="a"/>
    <w:pPr>
      <w:spacing w:before="100" w:beforeAutospacing="1" w:after="100" w:afterAutospacing="1"/>
    </w:pPr>
  </w:style>
  <w:style w:type="paragraph" w:customStyle="1" w:styleId="imgml">
    <w:name w:val="imgml"/>
    <w:basedOn w:val="a"/>
    <w:pPr>
      <w:spacing w:before="100" w:beforeAutospacing="1" w:after="100" w:afterAutospacing="1"/>
    </w:pPr>
  </w:style>
  <w:style w:type="paragraph" w:customStyle="1" w:styleId="floatbox">
    <w:name w:val="float_box"/>
    <w:basedOn w:val="a"/>
    <w:pPr>
      <w:spacing w:before="100" w:beforeAutospacing="1" w:after="100" w:afterAutospacing="1"/>
    </w:pPr>
  </w:style>
  <w:style w:type="paragraph" w:customStyle="1" w:styleId="floattit">
    <w:name w:val="float_tit"/>
    <w:basedOn w:val="a"/>
    <w:pPr>
      <w:spacing w:before="100" w:beforeAutospacing="1" w:after="100" w:afterAutospacing="1"/>
    </w:pPr>
  </w:style>
  <w:style w:type="paragraph" w:customStyle="1" w:styleId="floatcon">
    <w:name w:val="float_con"/>
    <w:basedOn w:val="a"/>
    <w:pPr>
      <w:spacing w:before="100" w:beforeAutospacing="1" w:after="100" w:afterAutospacing="1"/>
    </w:pPr>
  </w:style>
  <w:style w:type="paragraph" w:customStyle="1" w:styleId="floatbtn">
    <w:name w:val="float_btn"/>
    <w:basedOn w:val="a"/>
    <w:pPr>
      <w:spacing w:before="100" w:beforeAutospacing="1" w:after="100" w:afterAutospacing="1"/>
    </w:pPr>
  </w:style>
  <w:style w:type="paragraph" w:customStyle="1" w:styleId="paginationindex">
    <w:name w:val="pagination_index"/>
    <w:basedOn w:val="a"/>
    <w:pPr>
      <w:spacing w:before="100" w:beforeAutospacing="1" w:after="100" w:afterAutospacing="1"/>
    </w:pPr>
  </w:style>
  <w:style w:type="paragraph" w:customStyle="1" w:styleId="paginationindexnum">
    <w:name w:val="pagination_index_num"/>
    <w:basedOn w:val="a"/>
    <w:pPr>
      <w:spacing w:before="100" w:beforeAutospacing="1" w:after="100" w:afterAutospacing="1"/>
    </w:pPr>
  </w:style>
  <w:style w:type="paragraph" w:customStyle="1" w:styleId="paginationindexlast">
    <w:name w:val="pagination_index_last"/>
    <w:basedOn w:val="a"/>
    <w:pPr>
      <w:spacing w:before="100" w:beforeAutospacing="1" w:after="100" w:afterAutospacing="1"/>
    </w:pPr>
  </w:style>
  <w:style w:type="paragraph" w:customStyle="1" w:styleId="currentindex">
    <w:name w:val="currentindex"/>
    <w:basedOn w:val="a"/>
    <w:pPr>
      <w:spacing w:before="100" w:beforeAutospacing="1" w:after="100" w:afterAutospacing="1"/>
    </w:pPr>
  </w:style>
  <w:style w:type="paragraph" w:customStyle="1" w:styleId="mr1">
    <w:name w:val="mr1"/>
    <w:basedOn w:val="a"/>
    <w:pPr>
      <w:spacing w:before="100" w:beforeAutospacing="1" w:after="100" w:afterAutospacing="1"/>
    </w:pPr>
  </w:style>
  <w:style w:type="paragraph" w:customStyle="1" w:styleId="mr2">
    <w:name w:val="mr2"/>
    <w:basedOn w:val="a"/>
    <w:pPr>
      <w:spacing w:before="100" w:beforeAutospacing="1" w:after="100" w:afterAutospacing="1"/>
    </w:pPr>
  </w:style>
  <w:style w:type="paragraph" w:customStyle="1" w:styleId="mr3">
    <w:name w:val="mr3"/>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lf">
    <w:name w:val="lf"/>
    <w:basedOn w:val="a"/>
    <w:pPr>
      <w:spacing w:before="100" w:beforeAutospacing="1" w:after="100" w:afterAutospacing="1"/>
    </w:pPr>
  </w:style>
  <w:style w:type="paragraph" w:customStyle="1" w:styleId="rg">
    <w:name w:val="rg"/>
    <w:basedOn w:val="a"/>
    <w:pPr>
      <w:spacing w:before="100" w:beforeAutospacing="1" w:after="100" w:afterAutospacing="1"/>
    </w:pPr>
  </w:style>
  <w:style w:type="character" w:customStyle="1" w:styleId="datetle">
    <w:name w:val="datetle"/>
    <w:basedOn w:val="a0"/>
  </w:style>
  <w:style w:type="paragraph" w:customStyle="1" w:styleId="btnzn1">
    <w:name w:val="btn_zn1"/>
    <w:basedOn w:val="a"/>
    <w:pPr>
      <w:spacing w:before="100" w:beforeAutospacing="1" w:after="100" w:afterAutospacing="1"/>
    </w:pPr>
  </w:style>
  <w:style w:type="paragraph" w:customStyle="1" w:styleId="ztitle1">
    <w:name w:val="z_title1"/>
    <w:basedOn w:val="a"/>
    <w:pPr>
      <w:spacing w:before="100" w:beforeAutospacing="1" w:after="100" w:afterAutospacing="1" w:line="564" w:lineRule="atLeast"/>
      <w:jc w:val="center"/>
    </w:pPr>
    <w:rPr>
      <w:b/>
      <w:bCs/>
      <w:color w:val="0978C9"/>
      <w:sz w:val="17"/>
      <w:szCs w:val="17"/>
    </w:rPr>
  </w:style>
  <w:style w:type="paragraph" w:customStyle="1" w:styleId="znav1">
    <w:name w:val="z_nav1"/>
    <w:basedOn w:val="a"/>
    <w:pPr>
      <w:spacing w:before="100" w:beforeAutospacing="1" w:after="100" w:afterAutospacing="1"/>
    </w:pPr>
  </w:style>
  <w:style w:type="paragraph" w:customStyle="1" w:styleId="zbot1">
    <w:name w:val="z_bot1"/>
    <w:basedOn w:val="a"/>
    <w:pPr>
      <w:spacing w:before="100" w:beforeAutospacing="1" w:after="100" w:afterAutospacing="1" w:line="108" w:lineRule="atLeast"/>
    </w:pPr>
  </w:style>
  <w:style w:type="paragraph" w:customStyle="1" w:styleId="btnli1">
    <w:name w:val="btn_li1"/>
    <w:basedOn w:val="a"/>
    <w:pPr>
      <w:spacing w:before="100" w:beforeAutospacing="1" w:after="100" w:afterAutospacing="1"/>
    </w:pPr>
  </w:style>
  <w:style w:type="paragraph" w:customStyle="1" w:styleId="fr11">
    <w:name w:val="f_r11"/>
    <w:basedOn w:val="a"/>
    <w:pPr>
      <w:spacing w:before="100" w:beforeAutospacing="1" w:after="100" w:afterAutospacing="1"/>
    </w:pPr>
  </w:style>
  <w:style w:type="paragraph" w:customStyle="1" w:styleId="fr21">
    <w:name w:val="f_r21"/>
    <w:basedOn w:val="a"/>
    <w:pPr>
      <w:spacing w:before="100" w:beforeAutospacing="1" w:after="100" w:afterAutospacing="1"/>
    </w:pPr>
  </w:style>
  <w:style w:type="paragraph" w:customStyle="1" w:styleId="ftitle1">
    <w:name w:val="f_title1"/>
    <w:basedOn w:val="a"/>
    <w:pPr>
      <w:spacing w:before="100" w:beforeAutospacing="1" w:after="100" w:afterAutospacing="1" w:line="324" w:lineRule="atLeast"/>
    </w:pPr>
    <w:rPr>
      <w:b/>
      <w:bCs/>
      <w:color w:val="FFFFFF"/>
      <w:sz w:val="17"/>
      <w:szCs w:val="17"/>
    </w:rPr>
  </w:style>
  <w:style w:type="paragraph" w:customStyle="1" w:styleId="fcurrent1">
    <w:name w:val="f_current1"/>
    <w:basedOn w:val="a"/>
    <w:pPr>
      <w:spacing w:before="100" w:beforeAutospacing="1" w:after="100" w:afterAutospacing="1" w:line="324" w:lineRule="atLeast"/>
    </w:pPr>
  </w:style>
  <w:style w:type="paragraph" w:customStyle="1" w:styleId="borderr1">
    <w:name w:val="border_r1"/>
    <w:basedOn w:val="a"/>
    <w:pPr>
      <w:pBdr>
        <w:right w:val="single" w:sz="4" w:space="0" w:color="BADBEE"/>
      </w:pBdr>
      <w:spacing w:before="100" w:beforeAutospacing="1" w:after="100" w:afterAutospacing="1"/>
    </w:pPr>
  </w:style>
  <w:style w:type="paragraph" w:customStyle="1" w:styleId="headtitle1">
    <w:name w:val="head_title1"/>
    <w:basedOn w:val="a"/>
    <w:pPr>
      <w:spacing w:before="100" w:beforeAutospacing="1" w:after="100" w:afterAutospacing="1"/>
    </w:pPr>
  </w:style>
  <w:style w:type="paragraph" w:customStyle="1" w:styleId="infotitle1">
    <w:name w:val="info_title1"/>
    <w:basedOn w:val="a"/>
    <w:pPr>
      <w:spacing w:before="100" w:beforeAutospacing="1" w:after="100" w:afterAutospacing="1"/>
    </w:pPr>
  </w:style>
  <w:style w:type="paragraph" w:customStyle="1" w:styleId="infodate1">
    <w:name w:val="info_date1"/>
    <w:basedOn w:val="a"/>
    <w:pPr>
      <w:spacing w:before="100" w:beforeAutospacing="1" w:after="100" w:afterAutospacing="1"/>
    </w:pPr>
  </w:style>
  <w:style w:type="paragraph" w:customStyle="1" w:styleId="infowh1">
    <w:name w:val="info_wh1"/>
    <w:basedOn w:val="a"/>
    <w:pPr>
      <w:spacing w:before="100" w:beforeAutospacing="1" w:after="100" w:afterAutospacing="1"/>
      <w:jc w:val="center"/>
    </w:pPr>
  </w:style>
  <w:style w:type="paragraph" w:customStyle="1" w:styleId="ftitle2">
    <w:name w:val="f_title2"/>
    <w:basedOn w:val="a"/>
    <w:pPr>
      <w:spacing w:before="100" w:beforeAutospacing="1" w:after="100" w:afterAutospacing="1"/>
    </w:pPr>
    <w:rPr>
      <w:b/>
      <w:bCs/>
      <w:color w:val="FFFFFF"/>
      <w:sz w:val="17"/>
      <w:szCs w:val="17"/>
    </w:rPr>
  </w:style>
  <w:style w:type="paragraph" w:customStyle="1" w:styleId="paginationindex1">
    <w:name w:val="pagination_index1"/>
    <w:basedOn w:val="a"/>
    <w:pPr>
      <w:pBdr>
        <w:top w:val="single" w:sz="4" w:space="0" w:color="CCCCCC"/>
        <w:left w:val="single" w:sz="4" w:space="5" w:color="CCCCCC"/>
        <w:bottom w:val="single" w:sz="4" w:space="0" w:color="CCCCCC"/>
        <w:right w:val="single" w:sz="4" w:space="5" w:color="CCCCCC"/>
      </w:pBdr>
      <w:shd w:val="clear" w:color="auto" w:fill="FFFFFF"/>
      <w:spacing w:before="100" w:beforeAutospacing="1" w:after="100" w:afterAutospacing="1"/>
      <w:ind w:right="24"/>
      <w:jc w:val="center"/>
    </w:pPr>
  </w:style>
  <w:style w:type="paragraph" w:customStyle="1" w:styleId="paginationindexnum1">
    <w:name w:val="pagination_index_num1"/>
    <w:basedOn w:val="a"/>
    <w:pPr>
      <w:pBdr>
        <w:top w:val="single" w:sz="4" w:space="0" w:color="CCCCCC"/>
        <w:left w:val="single" w:sz="4" w:space="5" w:color="CCCCCC"/>
        <w:bottom w:val="single" w:sz="4" w:space="0" w:color="CCCCCC"/>
        <w:right w:val="single" w:sz="4" w:space="5" w:color="CCCCCC"/>
      </w:pBdr>
      <w:shd w:val="clear" w:color="auto" w:fill="FFFFFF"/>
      <w:spacing w:before="100" w:beforeAutospacing="1" w:after="100" w:afterAutospacing="1"/>
      <w:ind w:right="24"/>
      <w:jc w:val="center"/>
    </w:pPr>
  </w:style>
  <w:style w:type="paragraph" w:customStyle="1" w:styleId="paginationindexlast1">
    <w:name w:val="pagination_index_last1"/>
    <w:basedOn w:val="a"/>
    <w:pPr>
      <w:spacing w:before="100" w:beforeAutospacing="1" w:after="100" w:afterAutospacing="1"/>
      <w:jc w:val="right"/>
    </w:pPr>
  </w:style>
  <w:style w:type="paragraph" w:customStyle="1" w:styleId="currentindex1">
    <w:name w:val="currentindex1"/>
    <w:basedOn w:val="a"/>
    <w:pPr>
      <w:pBdr>
        <w:top w:val="single" w:sz="4" w:space="0" w:color="1F76BA"/>
        <w:left w:val="single" w:sz="4" w:space="0" w:color="1F76BA"/>
        <w:bottom w:val="single" w:sz="4" w:space="0" w:color="1F76BA"/>
        <w:right w:val="single" w:sz="4" w:space="0" w:color="1F76BA"/>
      </w:pBdr>
      <w:shd w:val="clear" w:color="auto" w:fill="1F76BA"/>
      <w:spacing w:before="100" w:beforeAutospacing="1" w:after="100" w:afterAutospacing="1" w:line="240" w:lineRule="atLeast"/>
      <w:jc w:val="center"/>
    </w:pPr>
    <w:rPr>
      <w:b/>
      <w:bCs/>
      <w:color w:val="FFFFFF"/>
    </w:rPr>
  </w:style>
  <w:style w:type="paragraph" w:customStyle="1" w:styleId="topbannerdiv1">
    <w:name w:val="top_banner_div1"/>
    <w:basedOn w:val="a"/>
    <w:pPr>
      <w:spacing w:before="100" w:beforeAutospacing="1" w:after="100" w:afterAutospacing="1"/>
    </w:pPr>
  </w:style>
  <w:style w:type="paragraph" w:customStyle="1" w:styleId="topbannerfl1">
    <w:name w:val="top_banner_fl1"/>
    <w:basedOn w:val="a"/>
    <w:pPr>
      <w:spacing w:before="100" w:beforeAutospacing="1" w:after="100" w:afterAutospacing="1" w:line="168" w:lineRule="atLeast"/>
    </w:pPr>
  </w:style>
  <w:style w:type="paragraph" w:customStyle="1" w:styleId="topbannerfr1">
    <w:name w:val="top_banner_fr1"/>
    <w:basedOn w:val="a"/>
    <w:pPr>
      <w:spacing w:before="100" w:beforeAutospacing="1" w:after="100" w:afterAutospacing="1" w:line="312" w:lineRule="atLeast"/>
    </w:pPr>
  </w:style>
  <w:style w:type="paragraph" w:customStyle="1" w:styleId="metadata1">
    <w:name w:val="metadata1"/>
    <w:basedOn w:val="a"/>
    <w:pPr>
      <w:spacing w:before="100" w:beforeAutospacing="1" w:after="100" w:afterAutospacing="1"/>
    </w:pPr>
    <w:rPr>
      <w:color w:val="333333"/>
    </w:rPr>
  </w:style>
  <w:style w:type="character" w:customStyle="1" w:styleId="datetle1">
    <w:name w:val="datetle1"/>
    <w:basedOn w:val="a0"/>
    <w:rPr>
      <w:b/>
      <w:bCs/>
      <w:vanish w:val="0"/>
      <w:webHidden w:val="0"/>
      <w:color w:val="000000"/>
      <w:sz w:val="17"/>
      <w:szCs w:val="17"/>
      <w:specVanish w:val="0"/>
    </w:rPr>
  </w:style>
  <w:style w:type="paragraph" w:customStyle="1" w:styleId="title1">
    <w:name w:val="title1"/>
    <w:basedOn w:val="a"/>
    <w:pPr>
      <w:spacing w:before="100" w:beforeAutospacing="1" w:after="100" w:afterAutospacing="1"/>
      <w:jc w:val="center"/>
    </w:pPr>
    <w:rPr>
      <w:b/>
      <w:bCs/>
      <w:color w:val="CF0002"/>
      <w:sz w:val="36"/>
      <w:szCs w:val="36"/>
    </w:rPr>
  </w:style>
  <w:style w:type="paragraph" w:customStyle="1" w:styleId="time1">
    <w:name w:val="time1"/>
    <w:basedOn w:val="a"/>
    <w:pPr>
      <w:spacing w:before="100" w:beforeAutospacing="1" w:after="100" w:afterAutospacing="1"/>
      <w:jc w:val="center"/>
    </w:pPr>
    <w:rPr>
      <w:vanish/>
      <w:color w:val="666666"/>
    </w:rPr>
  </w:style>
  <w:style w:type="paragraph" w:customStyle="1" w:styleId="content1">
    <w:name w:val="content1"/>
    <w:basedOn w:val="a"/>
    <w:pPr>
      <w:spacing w:before="100" w:beforeAutospacing="1" w:after="100" w:afterAutospacing="1"/>
    </w:pPr>
    <w:rPr>
      <w:color w:val="333333"/>
    </w:rPr>
  </w:style>
  <w:style w:type="paragraph" w:customStyle="1" w:styleId="atttitle1">
    <w:name w:val="att_title1"/>
    <w:basedOn w:val="a"/>
    <w:pPr>
      <w:spacing w:before="100" w:beforeAutospacing="1" w:after="100" w:afterAutospacing="1" w:line="288" w:lineRule="atLeast"/>
    </w:pPr>
    <w:rPr>
      <w:b/>
      <w:bCs/>
      <w:color w:val="333333"/>
    </w:rPr>
  </w:style>
  <w:style w:type="paragraph" w:customStyle="1" w:styleId="attlist1">
    <w:name w:val="att_list1"/>
    <w:basedOn w:val="a"/>
    <w:pPr>
      <w:spacing w:before="100" w:beforeAutospacing="1" w:after="100" w:afterAutospacing="1" w:line="288" w:lineRule="atLeast"/>
    </w:pPr>
  </w:style>
  <w:style w:type="paragraph" w:customStyle="1" w:styleId="printbtn1">
    <w:name w:val="print_btn1"/>
    <w:basedOn w:val="a"/>
    <w:pPr>
      <w:spacing w:before="100" w:beforeAutospacing="1" w:after="100" w:afterAutospacing="1"/>
      <w:jc w:val="right"/>
    </w:pPr>
  </w:style>
  <w:style w:type="paragraph" w:customStyle="1" w:styleId="dotline1">
    <w:name w:val="dot_line1"/>
    <w:basedOn w:val="a"/>
    <w:pPr>
      <w:spacing w:before="100" w:beforeAutospacing="1" w:after="100" w:afterAutospacing="1"/>
    </w:pPr>
  </w:style>
  <w:style w:type="paragraph" w:customStyle="1" w:styleId="searchofinput1">
    <w:name w:val="searchofinput1"/>
    <w:basedOn w:val="a"/>
    <w:pPr>
      <w:pBdr>
        <w:top w:val="single" w:sz="4" w:space="0" w:color="CCCCCC"/>
        <w:left w:val="single" w:sz="4" w:space="0" w:color="CCCCCC"/>
        <w:bottom w:val="single" w:sz="4" w:space="0" w:color="CCCCCC"/>
        <w:right w:val="single" w:sz="4" w:space="0" w:color="CCCCCC"/>
      </w:pBdr>
      <w:shd w:val="clear" w:color="auto" w:fill="FFFFFF"/>
      <w:spacing w:before="100" w:beforeAutospacing="1" w:after="100" w:afterAutospacing="1" w:line="228" w:lineRule="atLeast"/>
    </w:pPr>
  </w:style>
  <w:style w:type="paragraph" w:customStyle="1" w:styleId="searchofbutton1">
    <w:name w:val="searchofbutton1"/>
    <w:basedOn w:val="a"/>
    <w:pPr>
      <w:spacing w:before="100" w:beforeAutospacing="1" w:after="100" w:afterAutospacing="1" w:line="228" w:lineRule="atLeast"/>
    </w:pPr>
    <w:rPr>
      <w:b/>
      <w:bCs/>
      <w:sz w:val="14"/>
      <w:szCs w:val="14"/>
    </w:rPr>
  </w:style>
  <w:style w:type="paragraph" w:customStyle="1" w:styleId="searchofadv1">
    <w:name w:val="searchofadv1"/>
    <w:basedOn w:val="a"/>
    <w:pPr>
      <w:spacing w:before="100" w:beforeAutospacing="1" w:after="100" w:afterAutospacing="1" w:line="228" w:lineRule="atLeast"/>
    </w:pPr>
    <w:rPr>
      <w:b/>
      <w:bCs/>
      <w:sz w:val="14"/>
      <w:szCs w:val="14"/>
    </w:rPr>
  </w:style>
  <w:style w:type="paragraph" w:customStyle="1" w:styleId="ysqssofinput1">
    <w:name w:val="ysqssofinput1"/>
    <w:basedOn w:val="a"/>
    <w:pPr>
      <w:pBdr>
        <w:top w:val="single" w:sz="4" w:space="0" w:color="CCCCCC"/>
        <w:left w:val="single" w:sz="4" w:space="0" w:color="CCCCCC"/>
        <w:bottom w:val="single" w:sz="4" w:space="0" w:color="CCCCCC"/>
        <w:right w:val="single" w:sz="4" w:space="0" w:color="CCCCCC"/>
      </w:pBdr>
      <w:shd w:val="clear" w:color="auto" w:fill="FFFFFF"/>
      <w:spacing w:before="100" w:beforeAutospacing="1" w:after="100" w:afterAutospacing="1" w:line="240" w:lineRule="atLeast"/>
    </w:pPr>
  </w:style>
  <w:style w:type="paragraph" w:customStyle="1" w:styleId="currentfont1">
    <w:name w:val="current_font1"/>
    <w:basedOn w:val="a"/>
    <w:pPr>
      <w:spacing w:before="100" w:beforeAutospacing="1" w:after="100" w:afterAutospacing="1" w:line="576" w:lineRule="atLeast"/>
    </w:pPr>
    <w:rPr>
      <w:rFonts w:ascii="微软雅黑" w:eastAsia="微软雅黑" w:hAnsi="微软雅黑"/>
      <w:sz w:val="17"/>
      <w:szCs w:val="17"/>
    </w:rPr>
  </w:style>
  <w:style w:type="paragraph" w:customStyle="1" w:styleId="headline1">
    <w:name w:val="head_line1"/>
    <w:basedOn w:val="a"/>
    <w:pPr>
      <w:spacing w:before="100" w:beforeAutospacing="1" w:after="100" w:afterAutospacing="1" w:line="96" w:lineRule="atLeast"/>
    </w:pPr>
  </w:style>
  <w:style w:type="paragraph" w:customStyle="1" w:styleId="footline1">
    <w:name w:val="foot_line1"/>
    <w:basedOn w:val="a"/>
    <w:pPr>
      <w:spacing w:before="100" w:beforeAutospacing="1" w:after="100" w:afterAutospacing="1" w:line="96" w:lineRule="atLeast"/>
    </w:pPr>
  </w:style>
  <w:style w:type="paragraph" w:customStyle="1" w:styleId="angle1">
    <w:name w:val="angle1"/>
    <w:basedOn w:val="a"/>
    <w:pPr>
      <w:spacing w:before="100" w:beforeAutospacing="1" w:after="100" w:afterAutospacing="1"/>
    </w:pPr>
  </w:style>
  <w:style w:type="paragraph" w:customStyle="1" w:styleId="tl1">
    <w:name w:val="tl1"/>
    <w:basedOn w:val="a"/>
    <w:pPr>
      <w:spacing w:before="100" w:beforeAutospacing="1" w:after="100" w:afterAutospacing="1"/>
    </w:pPr>
  </w:style>
  <w:style w:type="paragraph" w:customStyle="1" w:styleId="tr1">
    <w:name w:val="tr1"/>
    <w:basedOn w:val="a"/>
    <w:pPr>
      <w:spacing w:before="100" w:beforeAutospacing="1" w:after="100" w:afterAutospacing="1"/>
    </w:pPr>
  </w:style>
  <w:style w:type="paragraph" w:customStyle="1" w:styleId="bl1">
    <w:name w:val="bl1"/>
    <w:basedOn w:val="a"/>
    <w:pPr>
      <w:spacing w:before="100" w:beforeAutospacing="1" w:after="100" w:afterAutospacing="1"/>
    </w:pPr>
  </w:style>
  <w:style w:type="paragraph" w:customStyle="1" w:styleId="br1">
    <w:name w:val="br1"/>
    <w:basedOn w:val="a"/>
    <w:pPr>
      <w:spacing w:before="100" w:beforeAutospacing="1" w:after="100" w:afterAutospacing="1"/>
    </w:pPr>
  </w:style>
  <w:style w:type="paragraph" w:customStyle="1" w:styleId="g-pad-head1">
    <w:name w:val="g-pad-head1"/>
    <w:basedOn w:val="a"/>
    <w:pPr>
      <w:spacing w:before="100" w:beforeAutospacing="1" w:after="100" w:afterAutospacing="1"/>
    </w:pPr>
  </w:style>
  <w:style w:type="paragraph" w:customStyle="1" w:styleId="g-pad-title1">
    <w:name w:val="g-pad-title1"/>
    <w:basedOn w:val="a"/>
    <w:pPr>
      <w:spacing w:before="100" w:beforeAutospacing="1" w:after="100" w:afterAutospacing="1" w:line="324" w:lineRule="atLeast"/>
    </w:pPr>
    <w:rPr>
      <w:rFonts w:ascii="微软雅黑" w:eastAsia="微软雅黑" w:hAnsi="微软雅黑"/>
      <w:b/>
      <w:bCs/>
      <w:color w:val="FFFFFF"/>
      <w:sz w:val="18"/>
      <w:szCs w:val="18"/>
    </w:rPr>
  </w:style>
  <w:style w:type="paragraph" w:customStyle="1" w:styleId="g-pad-body1">
    <w:name w:val="g-pad-body1"/>
    <w:basedOn w:val="a"/>
    <w:pPr>
      <w:spacing w:before="100" w:beforeAutospacing="1" w:after="100" w:afterAutospacing="1" w:line="384" w:lineRule="atLeast"/>
    </w:pPr>
    <w:rPr>
      <w:rFonts w:ascii="微软雅黑" w:eastAsia="微软雅黑" w:hAnsi="微软雅黑"/>
      <w:color w:val="333333"/>
      <w:sz w:val="18"/>
      <w:szCs w:val="18"/>
    </w:rPr>
  </w:style>
  <w:style w:type="paragraph" w:customStyle="1" w:styleId="imgml1">
    <w:name w:val="imgml1"/>
    <w:basedOn w:val="a"/>
    <w:pPr>
      <w:spacing w:before="100" w:beforeAutospacing="1" w:after="100" w:afterAutospacing="1"/>
      <w:ind w:left="528"/>
    </w:pPr>
  </w:style>
  <w:style w:type="paragraph" w:customStyle="1" w:styleId="floatbox1">
    <w:name w:val="float_box1"/>
    <w:basedOn w:val="a"/>
    <w:pPr>
      <w:pBdr>
        <w:top w:val="single" w:sz="12" w:space="0" w:color="61C1EB"/>
        <w:left w:val="single" w:sz="12" w:space="0" w:color="61C1EB"/>
        <w:bottom w:val="single" w:sz="12" w:space="0" w:color="61C1EB"/>
        <w:right w:val="single" w:sz="12" w:space="0" w:color="61C1EB"/>
      </w:pBdr>
      <w:shd w:val="clear" w:color="auto" w:fill="FFFFFE"/>
      <w:spacing w:before="100" w:beforeAutospacing="1" w:after="100" w:afterAutospacing="1"/>
    </w:pPr>
  </w:style>
  <w:style w:type="paragraph" w:customStyle="1" w:styleId="floattit1">
    <w:name w:val="float_tit1"/>
    <w:basedOn w:val="a"/>
    <w:pPr>
      <w:spacing w:before="100" w:beforeAutospacing="1" w:after="100" w:afterAutospacing="1"/>
    </w:pPr>
  </w:style>
  <w:style w:type="paragraph" w:customStyle="1" w:styleId="floatcon1">
    <w:name w:val="float_con1"/>
    <w:basedOn w:val="a"/>
    <w:pPr>
      <w:spacing w:before="100" w:beforeAutospacing="1" w:after="100" w:afterAutospacing="1" w:line="480" w:lineRule="auto"/>
      <w:jc w:val="center"/>
    </w:pPr>
    <w:rPr>
      <w:color w:val="444444"/>
      <w:sz w:val="19"/>
      <w:szCs w:val="19"/>
    </w:rPr>
  </w:style>
  <w:style w:type="paragraph" w:customStyle="1" w:styleId="floatbtn1">
    <w:name w:val="float_btn1"/>
    <w:basedOn w:val="a"/>
    <w:pPr>
      <w:spacing w:before="100" w:beforeAutospacing="1" w:after="100" w:afterAutospacing="1"/>
      <w:jc w:val="center"/>
    </w:pPr>
  </w:style>
  <w:style w:type="paragraph" w:customStyle="1" w:styleId="mr11">
    <w:name w:val="mr11"/>
    <w:basedOn w:val="a"/>
    <w:pPr>
      <w:pBdr>
        <w:bottom w:val="single" w:sz="4" w:space="0" w:color="FFFFFF"/>
      </w:pBdr>
      <w:spacing w:before="100" w:beforeAutospacing="1" w:after="100" w:afterAutospacing="1" w:line="600" w:lineRule="atLeast"/>
    </w:pPr>
    <w:rPr>
      <w:color w:val="FFFFFF"/>
    </w:rPr>
  </w:style>
  <w:style w:type="paragraph" w:customStyle="1" w:styleId="mr12">
    <w:name w:val="mr12"/>
    <w:basedOn w:val="a"/>
    <w:pPr>
      <w:pBdr>
        <w:bottom w:val="single" w:sz="4" w:space="0" w:color="FFFFFF"/>
      </w:pBdr>
      <w:spacing w:before="100" w:beforeAutospacing="1" w:after="100" w:afterAutospacing="1" w:line="600" w:lineRule="atLeast"/>
    </w:pPr>
    <w:rPr>
      <w:color w:val="FFFFFF"/>
    </w:rPr>
  </w:style>
  <w:style w:type="paragraph" w:customStyle="1" w:styleId="mr21">
    <w:name w:val="mr21"/>
    <w:basedOn w:val="a"/>
    <w:pPr>
      <w:pBdr>
        <w:bottom w:val="single" w:sz="4" w:space="0" w:color="FFFFFF"/>
      </w:pBdr>
      <w:spacing w:before="100" w:beforeAutospacing="1" w:after="100" w:afterAutospacing="1" w:line="480" w:lineRule="atLeast"/>
    </w:pPr>
    <w:rPr>
      <w:color w:val="FFFFFF"/>
    </w:rPr>
  </w:style>
  <w:style w:type="paragraph" w:customStyle="1" w:styleId="lf1">
    <w:name w:val="lf1"/>
    <w:basedOn w:val="a"/>
    <w:pPr>
      <w:spacing w:before="100" w:beforeAutospacing="1" w:after="100" w:afterAutospacing="1" w:line="480" w:lineRule="atLeast"/>
    </w:pPr>
  </w:style>
  <w:style w:type="paragraph" w:customStyle="1" w:styleId="rg1">
    <w:name w:val="rg1"/>
    <w:basedOn w:val="a"/>
    <w:pPr>
      <w:spacing w:before="100" w:beforeAutospacing="1" w:after="100" w:afterAutospacing="1"/>
    </w:pPr>
  </w:style>
  <w:style w:type="paragraph" w:customStyle="1" w:styleId="mr31">
    <w:name w:val="mr3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BADBEE"/>
      </w:pBdr>
      <w:spacing w:before="100" w:beforeAutospacing="1" w:after="100" w:afterAutospacing="1"/>
    </w:pPr>
  </w:style>
  <w:style w:type="paragraph" w:styleId="a7">
    <w:name w:val="Balloon Text"/>
    <w:basedOn w:val="a"/>
    <w:link w:val="Char"/>
    <w:uiPriority w:val="99"/>
    <w:semiHidden/>
    <w:unhideWhenUsed/>
    <w:rsid w:val="000833C1"/>
    <w:rPr>
      <w:sz w:val="18"/>
      <w:szCs w:val="18"/>
    </w:rPr>
  </w:style>
  <w:style w:type="character" w:customStyle="1" w:styleId="Char">
    <w:name w:val="批注框文本 Char"/>
    <w:basedOn w:val="a0"/>
    <w:link w:val="a7"/>
    <w:uiPriority w:val="99"/>
    <w:semiHidden/>
    <w:rsid w:val="000833C1"/>
    <w:rPr>
      <w:rFonts w:ascii="宋体" w:eastAsia="宋体" w:hAnsi="宋体" w:cs="宋体"/>
      <w:sz w:val="18"/>
      <w:szCs w:val="18"/>
    </w:rPr>
  </w:style>
  <w:style w:type="paragraph" w:styleId="a8">
    <w:name w:val="header"/>
    <w:basedOn w:val="a"/>
    <w:link w:val="Char0"/>
    <w:uiPriority w:val="99"/>
    <w:semiHidden/>
    <w:unhideWhenUsed/>
    <w:rsid w:val="000833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0833C1"/>
    <w:rPr>
      <w:rFonts w:ascii="宋体" w:eastAsia="宋体" w:hAnsi="宋体" w:cs="宋体"/>
      <w:sz w:val="18"/>
      <w:szCs w:val="18"/>
    </w:rPr>
  </w:style>
  <w:style w:type="paragraph" w:styleId="a9">
    <w:name w:val="footer"/>
    <w:basedOn w:val="a"/>
    <w:link w:val="Char1"/>
    <w:uiPriority w:val="99"/>
    <w:semiHidden/>
    <w:unhideWhenUsed/>
    <w:rsid w:val="000833C1"/>
    <w:pPr>
      <w:tabs>
        <w:tab w:val="center" w:pos="4153"/>
        <w:tab w:val="right" w:pos="8306"/>
      </w:tabs>
      <w:snapToGrid w:val="0"/>
    </w:pPr>
    <w:rPr>
      <w:sz w:val="18"/>
      <w:szCs w:val="18"/>
    </w:rPr>
  </w:style>
  <w:style w:type="character" w:customStyle="1" w:styleId="Char1">
    <w:name w:val="页脚 Char"/>
    <w:basedOn w:val="a0"/>
    <w:link w:val="a9"/>
    <w:uiPriority w:val="99"/>
    <w:semiHidden/>
    <w:rsid w:val="000833C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500803077">
      <w:marLeft w:val="0"/>
      <w:marRight w:val="0"/>
      <w:marTop w:val="100"/>
      <w:marBottom w:val="100"/>
      <w:divBdr>
        <w:top w:val="none" w:sz="0" w:space="0" w:color="auto"/>
        <w:left w:val="none" w:sz="0" w:space="0" w:color="auto"/>
        <w:bottom w:val="none" w:sz="0" w:space="0" w:color="auto"/>
        <w:right w:val="none" w:sz="0" w:space="0" w:color="auto"/>
      </w:divBdr>
      <w:divsChild>
        <w:div w:id="1116101651">
          <w:marLeft w:val="0"/>
          <w:marRight w:val="0"/>
          <w:marTop w:val="0"/>
          <w:marBottom w:val="0"/>
          <w:divBdr>
            <w:top w:val="none" w:sz="0" w:space="0" w:color="auto"/>
            <w:left w:val="none" w:sz="0" w:space="0" w:color="auto"/>
            <w:bottom w:val="none" w:sz="0" w:space="0" w:color="auto"/>
            <w:right w:val="none" w:sz="0" w:space="0" w:color="auto"/>
          </w:divBdr>
          <w:divsChild>
            <w:div w:id="849685572">
              <w:marLeft w:val="0"/>
              <w:marRight w:val="0"/>
              <w:marTop w:val="96"/>
              <w:marBottom w:val="96"/>
              <w:divBdr>
                <w:top w:val="single" w:sz="12" w:space="0" w:color="DFF1FB"/>
                <w:left w:val="single" w:sz="12" w:space="0" w:color="DFF1FB"/>
                <w:bottom w:val="single" w:sz="12" w:space="0" w:color="DFF1FB"/>
                <w:right w:val="single" w:sz="12" w:space="0" w:color="DFF1FB"/>
              </w:divBdr>
              <w:divsChild>
                <w:div w:id="1692144973">
                  <w:marLeft w:val="0"/>
                  <w:marRight w:val="0"/>
                  <w:marTop w:val="0"/>
                  <w:marBottom w:val="0"/>
                  <w:divBdr>
                    <w:top w:val="none" w:sz="0" w:space="0" w:color="auto"/>
                    <w:left w:val="none" w:sz="0" w:space="0" w:color="auto"/>
                    <w:bottom w:val="none" w:sz="0" w:space="0" w:color="auto"/>
                    <w:right w:val="none" w:sz="0" w:space="0" w:color="auto"/>
                  </w:divBdr>
                  <w:divsChild>
                    <w:div w:id="1877347389">
                      <w:marLeft w:val="0"/>
                      <w:marRight w:val="0"/>
                      <w:marTop w:val="0"/>
                      <w:marBottom w:val="0"/>
                      <w:divBdr>
                        <w:top w:val="none" w:sz="0" w:space="0" w:color="auto"/>
                        <w:left w:val="none" w:sz="0" w:space="0" w:color="auto"/>
                        <w:bottom w:val="none" w:sz="0" w:space="0" w:color="auto"/>
                        <w:right w:val="none" w:sz="0" w:space="0" w:color="auto"/>
                      </w:divBdr>
                      <w:divsChild>
                        <w:div w:id="336420570">
                          <w:marLeft w:val="0"/>
                          <w:marRight w:val="0"/>
                          <w:marTop w:val="0"/>
                          <w:marBottom w:val="0"/>
                          <w:divBdr>
                            <w:top w:val="none" w:sz="0" w:space="0" w:color="auto"/>
                            <w:left w:val="none" w:sz="0" w:space="0" w:color="auto"/>
                            <w:bottom w:val="none" w:sz="0" w:space="0" w:color="auto"/>
                            <w:right w:val="none" w:sz="0" w:space="0" w:color="auto"/>
                          </w:divBdr>
                        </w:div>
                        <w:div w:id="2004698428">
                          <w:marLeft w:val="0"/>
                          <w:marRight w:val="0"/>
                          <w:marTop w:val="0"/>
                          <w:marBottom w:val="0"/>
                          <w:divBdr>
                            <w:top w:val="none" w:sz="0" w:space="0" w:color="auto"/>
                            <w:left w:val="none" w:sz="0" w:space="0" w:color="auto"/>
                            <w:bottom w:val="none" w:sz="0" w:space="0" w:color="auto"/>
                            <w:right w:val="none" w:sz="0" w:space="0" w:color="auto"/>
                          </w:divBdr>
                        </w:div>
                        <w:div w:id="1126315211">
                          <w:marLeft w:val="0"/>
                          <w:marRight w:val="0"/>
                          <w:marTop w:val="0"/>
                          <w:marBottom w:val="0"/>
                          <w:divBdr>
                            <w:top w:val="none" w:sz="0" w:space="0" w:color="auto"/>
                            <w:left w:val="none" w:sz="0" w:space="0" w:color="auto"/>
                            <w:bottom w:val="none" w:sz="0" w:space="0" w:color="auto"/>
                            <w:right w:val="none" w:sz="0" w:space="0" w:color="auto"/>
                          </w:divBdr>
                        </w:div>
                      </w:divsChild>
                    </w:div>
                    <w:div w:id="661394139">
                      <w:marLeft w:val="0"/>
                      <w:marRight w:val="0"/>
                      <w:marTop w:val="0"/>
                      <w:marBottom w:val="0"/>
                      <w:divBdr>
                        <w:top w:val="none" w:sz="0" w:space="0" w:color="auto"/>
                        <w:left w:val="none" w:sz="0" w:space="0" w:color="auto"/>
                        <w:bottom w:val="none" w:sz="0" w:space="0" w:color="auto"/>
                        <w:right w:val="none" w:sz="0" w:space="0" w:color="auto"/>
                      </w:divBdr>
                      <w:divsChild>
                        <w:div w:id="440340154">
                          <w:marLeft w:val="0"/>
                          <w:marRight w:val="0"/>
                          <w:marTop w:val="0"/>
                          <w:marBottom w:val="0"/>
                          <w:divBdr>
                            <w:top w:val="none" w:sz="0" w:space="0" w:color="auto"/>
                            <w:left w:val="none" w:sz="0" w:space="0" w:color="auto"/>
                            <w:bottom w:val="none" w:sz="0" w:space="0" w:color="auto"/>
                            <w:right w:val="none" w:sz="0" w:space="0" w:color="auto"/>
                          </w:divBdr>
                        </w:div>
                        <w:div w:id="1897545840">
                          <w:marLeft w:val="0"/>
                          <w:marRight w:val="0"/>
                          <w:marTop w:val="0"/>
                          <w:marBottom w:val="0"/>
                          <w:divBdr>
                            <w:top w:val="none" w:sz="0" w:space="0" w:color="auto"/>
                            <w:left w:val="none" w:sz="0" w:space="0" w:color="auto"/>
                            <w:bottom w:val="none" w:sz="0" w:space="0" w:color="auto"/>
                            <w:right w:val="none" w:sz="0" w:space="0" w:color="auto"/>
                          </w:divBdr>
                        </w:div>
                        <w:div w:id="681399010">
                          <w:marLeft w:val="0"/>
                          <w:marRight w:val="0"/>
                          <w:marTop w:val="0"/>
                          <w:marBottom w:val="0"/>
                          <w:divBdr>
                            <w:top w:val="none" w:sz="0" w:space="0" w:color="auto"/>
                            <w:left w:val="none" w:sz="0" w:space="0" w:color="auto"/>
                            <w:bottom w:val="none" w:sz="0" w:space="0" w:color="auto"/>
                            <w:right w:val="none" w:sz="0" w:space="0" w:color="auto"/>
                          </w:divBdr>
                        </w:div>
                        <w:div w:id="1277982415">
                          <w:marLeft w:val="0"/>
                          <w:marRight w:val="0"/>
                          <w:marTop w:val="0"/>
                          <w:marBottom w:val="0"/>
                          <w:divBdr>
                            <w:top w:val="none" w:sz="0" w:space="0" w:color="auto"/>
                            <w:left w:val="none" w:sz="0" w:space="0" w:color="auto"/>
                            <w:bottom w:val="none" w:sz="0" w:space="0" w:color="auto"/>
                            <w:right w:val="none" w:sz="0" w:space="0" w:color="auto"/>
                          </w:divBdr>
                        </w:div>
                        <w:div w:id="453409477">
                          <w:marLeft w:val="0"/>
                          <w:marRight w:val="0"/>
                          <w:marTop w:val="0"/>
                          <w:marBottom w:val="0"/>
                          <w:divBdr>
                            <w:top w:val="none" w:sz="0" w:space="0" w:color="auto"/>
                            <w:left w:val="none" w:sz="0" w:space="0" w:color="auto"/>
                            <w:bottom w:val="none" w:sz="0" w:space="0" w:color="auto"/>
                            <w:right w:val="none" w:sz="0" w:space="0" w:color="auto"/>
                          </w:divBdr>
                        </w:div>
                        <w:div w:id="1934388162">
                          <w:marLeft w:val="0"/>
                          <w:marRight w:val="0"/>
                          <w:marTop w:val="0"/>
                          <w:marBottom w:val="0"/>
                          <w:divBdr>
                            <w:top w:val="none" w:sz="0" w:space="0" w:color="auto"/>
                            <w:left w:val="none" w:sz="0" w:space="0" w:color="auto"/>
                            <w:bottom w:val="none" w:sz="0" w:space="0" w:color="auto"/>
                            <w:right w:val="none" w:sz="0" w:space="0" w:color="auto"/>
                          </w:divBdr>
                        </w:div>
                      </w:divsChild>
                    </w:div>
                    <w:div w:id="1542667200">
                      <w:marLeft w:val="0"/>
                      <w:marRight w:val="0"/>
                      <w:marTop w:val="0"/>
                      <w:marBottom w:val="0"/>
                      <w:divBdr>
                        <w:top w:val="none" w:sz="0" w:space="0" w:color="auto"/>
                        <w:left w:val="none" w:sz="0" w:space="0" w:color="auto"/>
                        <w:bottom w:val="none" w:sz="0" w:space="0" w:color="auto"/>
                        <w:right w:val="none" w:sz="0" w:space="0" w:color="auto"/>
                      </w:divBdr>
                    </w:div>
                    <w:div w:id="1194032930">
                      <w:marLeft w:val="0"/>
                      <w:marRight w:val="0"/>
                      <w:marTop w:val="0"/>
                      <w:marBottom w:val="0"/>
                      <w:divBdr>
                        <w:top w:val="none" w:sz="0" w:space="0" w:color="auto"/>
                        <w:left w:val="none" w:sz="0" w:space="0" w:color="auto"/>
                        <w:bottom w:val="none" w:sz="0" w:space="0" w:color="auto"/>
                        <w:right w:val="none" w:sz="0" w:space="0" w:color="auto"/>
                      </w:divBdr>
                      <w:divsChild>
                        <w:div w:id="1584796848">
                          <w:marLeft w:val="0"/>
                          <w:marRight w:val="0"/>
                          <w:marTop w:val="0"/>
                          <w:marBottom w:val="0"/>
                          <w:divBdr>
                            <w:top w:val="none" w:sz="0" w:space="0" w:color="auto"/>
                            <w:left w:val="none" w:sz="0" w:space="0" w:color="auto"/>
                            <w:bottom w:val="none" w:sz="0" w:space="0" w:color="auto"/>
                            <w:right w:val="none" w:sz="0" w:space="0" w:color="auto"/>
                          </w:divBdr>
                        </w:div>
                        <w:div w:id="8770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http://www.shantou.gov.cn/00000/xhtml/images/zjst_nav.jpg" TargetMode="Externa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3621</Words>
  <Characters>132</Characters>
  <Application>Microsoft Office Word</Application>
  <DocSecurity>4</DocSecurity>
  <Lines>1</Lines>
  <Paragraphs>7</Paragraphs>
  <ScaleCrop>false</ScaleCrop>
  <Company>CHINA</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关于印发汕头市总部企业认定办法的通知 - 汕头市人民政府办公室</dc:title>
  <dc:subject/>
  <dc:creator>linfan</dc:creator>
  <cp:keywords/>
  <dc:description/>
  <cp:lastModifiedBy>linfan</cp:lastModifiedBy>
  <cp:revision>2</cp:revision>
  <dcterms:created xsi:type="dcterms:W3CDTF">2018-05-03T16:03:00Z</dcterms:created>
  <dcterms:modified xsi:type="dcterms:W3CDTF">2018-05-03T16:03:00Z</dcterms:modified>
</cp:coreProperties>
</file>