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line="510" w:lineRule="atLeast"/>
              <w:ind w:left="0" w:right="0" w:firstLine="0"/>
              <w:jc w:val="center"/>
              <w:rPr>
                <w:rFonts w:ascii="微软雅黑" w:hAnsi="微软雅黑" w:eastAsia="微软雅黑" w:cs="微软雅黑"/>
                <w:b/>
                <w:i w:val="0"/>
                <w:caps w:val="0"/>
                <w:color w:val="D20000"/>
                <w:spacing w:val="0"/>
                <w:sz w:val="34"/>
                <w:szCs w:val="34"/>
              </w:rPr>
            </w:pPr>
            <w:bookmarkStart w:id="0" w:name="_GoBack"/>
            <w:r>
              <w:rPr>
                <w:rFonts w:hint="eastAsia" w:ascii="微软雅黑" w:hAnsi="微软雅黑" w:eastAsia="微软雅黑" w:cs="微软雅黑"/>
                <w:b/>
                <w:i w:val="0"/>
                <w:caps w:val="0"/>
                <w:color w:val="D20000"/>
                <w:spacing w:val="0"/>
                <w:kern w:val="0"/>
                <w:sz w:val="34"/>
                <w:szCs w:val="34"/>
                <w:bdr w:val="none" w:color="auto" w:sz="0" w:space="0"/>
                <w:lang w:val="en-US" w:eastAsia="zh-CN" w:bidi="ar"/>
              </w:rPr>
              <w:t>鼓楼区扶持电子商务产业发展暂行办法</w:t>
            </w:r>
            <w:bookmarkEnd w:id="0"/>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41" name="图片 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40" name="图片 4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42" name="图片 4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ascii="仿宋_GB2312" w:hAnsi="Times New Roman" w:eastAsia="仿宋_GB2312" w:cs="仿宋_GB2312"/>
                <w:i w:val="0"/>
                <w:caps w:val="0"/>
                <w:color w:val="333333"/>
                <w:spacing w:val="0"/>
                <w:kern w:val="0"/>
                <w:sz w:val="21"/>
                <w:szCs w:val="21"/>
                <w:bdr w:val="none" w:color="auto" w:sz="0" w:space="0"/>
                <w:lang w:val="en-US" w:eastAsia="zh-CN" w:bidi="ar"/>
              </w:rPr>
              <w:t>为进一步优化电子商务发展环境，扶持电子商务企业开展自主创新和品牌建设，加快推进我区电子商务发展，引导传统商贸业转型升级，区政府每年安排专项资金用于支持我区电子商务产业发展。为规范资金使用，特制定本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ascii="黑体" w:hAnsi="宋体" w:eastAsia="黑体" w:cs="黑体"/>
                <w:i w:val="0"/>
                <w:caps w:val="0"/>
                <w:color w:val="333333"/>
                <w:spacing w:val="0"/>
                <w:kern w:val="0"/>
                <w:sz w:val="21"/>
                <w:szCs w:val="21"/>
                <w:bdr w:val="none" w:color="auto" w:sz="0" w:space="0"/>
                <w:lang w:val="en-US" w:eastAsia="zh-CN" w:bidi="ar"/>
              </w:rPr>
              <w:t>一、扶持对象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本意见的扶持对象为注册、纳税在本区，具有独立法人资格的电子商务企业（以下统称电子商务企业）：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ascii="楷体_GB2312" w:hAnsi="Times New Roman" w:eastAsia="楷体_GB2312" w:cs="楷体_GB2312"/>
                <w:i w:val="0"/>
                <w:caps w:val="0"/>
                <w:color w:val="333333"/>
                <w:spacing w:val="0"/>
                <w:kern w:val="0"/>
                <w:sz w:val="21"/>
                <w:szCs w:val="21"/>
                <w:bdr w:val="none" w:color="auto" w:sz="0" w:space="0"/>
                <w:lang w:val="en-US" w:eastAsia="zh-CN" w:bidi="ar"/>
              </w:rPr>
              <w:t>（一）电子商务应用企业</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，主要通过第三方电子商务平台或自营电子商务平台并实现电子商务交易、在线支付的企业，或取得授权的品牌分销企业，且纳入限上统计的企业。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（二）电子商务服务平台企业</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，指企业拥有利用互联网或移动通信进行产品展示、信息发布、价格指导、在线交易、在线或移动支付等服务功能的电子商务平台，企业的主营业务是为注册会员提供平台交易服务。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（三）电子商务专业服务企业</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，指专业为电子商务服务平台企业、电子商务应用企业提供网上或移动支付、数字认证、网络信用信息服务等专业服务的企业。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kern w:val="0"/>
                <w:sz w:val="21"/>
                <w:szCs w:val="21"/>
                <w:bdr w:val="none" w:color="auto" w:sz="0" w:space="0"/>
                <w:lang w:val="en-US" w:eastAsia="zh-CN" w:bidi="ar"/>
              </w:rPr>
              <w:t>二、扶持政策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（一）区政府设定1000万元电子商务专项扶持资金，连续三年滚动用于支持电商产业发展。具体扶持项目如下：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支持传统商贸企业发展电子商务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鼓励属地管理的具有实体的传统商贸企业在经营实体的同时，通过第三方平台开设旗舰店、专卖店，开展</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O2O</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型体验式消费、网络营销、网上订货等业务。对开拓网络零售渠道，且纳入限上统计的企业，区政府连续三年对其进行奖励。年网络零售额首次突破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万元且纳税达到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万元以上的，给予一次性奖励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万元；首次突破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万元且纳税达到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150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万元以上的，给予一次性奖励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万元；首次突破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亿元且纳税达到</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万元以上的，给予一次性奖励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培育开发电子商务园区项目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鼓励老旧厂区、楼宇建设电子商务园区，对电子商务办公使用面积达</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平方米以上，实际运行一年以上的电子商务专业园区且</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入驻企业纳入限上统计，经区电子商务产业发展领导小组办公室审核认定为电商示范性园区工程的，连续三年给予园区组织管理机构运营补助，每年补助</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万元；对电子商务办公使用面积超过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10000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平方米且实际运行一年以上的电子商务专业园区的补助方案，实行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一事一议</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支持创建各类电子商务平台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）对新设立或新迁入我区的具有交易功能的电子商务服务平台企业，从上线运行年度起，区政府连续三年对其进行奖励。年交易额首次突破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亿元的，给予一次性奖励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万元；首次突破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亿元的，给予一次性奖励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万元；三年奖励总金额不超过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）总部设在我区的分销平台企业，从上线运行年度起，区政府连续三年对其进行奖励。年交易额首次突破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万元的，给予一次性奖励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万元；首次突破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亿元的，给予一次性奖励</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万元；三年奖励总金额不超过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万元；对交易额突破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亿元的分销平台企业的奖励，实行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一事一议</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）总部注册在我区的企业拥有或获得中国人民银行颁发的《支付业务许可证》并实际开展第三方支付业务的，已投入</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万元且日均资金流量超过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150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万元的第三方支付平台，连续三年给予企业每年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4.</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优化仓储物流服务体系建设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鼓励引进全国十强快递物流和国际先进快递物流企业到我区设立区域总部（独立核算的），企业在鼓楼区注册且运营</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年以上，给予</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万元的奖励。对注册在我区的仓储物流企业，仓储面积</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平方米以上，且建立电子商务物流公共服务平台，能够为电子商务企业提供物流仓储用地、物流信息发布等服务，经审核给予租用仓储面积每平方米面积补助</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元，补助期为</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年合计最高额不超过</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万元。对重大仓储物流项目，实行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一事一议</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w:t>
            </w: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以上各类奖励按照就高不就低的原则执行，不重复奖励。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楷体_GB2312" w:hAnsi="Times New Roman" w:eastAsia="楷体_GB2312" w:cs="楷体_GB2312"/>
                <w:i w:val="0"/>
                <w:caps w:val="0"/>
                <w:color w:val="333333"/>
                <w:spacing w:val="0"/>
                <w:kern w:val="0"/>
                <w:sz w:val="21"/>
                <w:szCs w:val="21"/>
                <w:bdr w:val="none" w:color="auto" w:sz="0" w:space="0"/>
                <w:lang w:val="en-US" w:eastAsia="zh-CN" w:bidi="ar"/>
              </w:rPr>
              <w:t>（二）实施电子商务财税优惠奖励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实行电子商务企业自行申报纳税制度，对贸易兼零售产生税收的电商企业给予适当奖励：对在我区注册的电子商务企业，其缴税的区级留成部分按前两年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100%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、第三年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50%</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、第四年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25%</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奖励给企业，连续奖励四年后纳入区政府正常纳税奖励政策进行奖励。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kern w:val="0"/>
                <w:sz w:val="21"/>
                <w:szCs w:val="21"/>
                <w:bdr w:val="none" w:color="auto" w:sz="0" w:space="0"/>
                <w:lang w:val="en-US" w:eastAsia="zh-CN" w:bidi="ar"/>
              </w:rPr>
              <w:t>三、一事一议政策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国内外知名的综合性或专业性电子商务企业在我区设立总部，或建设对我区电子商务发展有重大影响的项目，由区电子商务产业发展领导小组办公室提请区政府按个案研究，实行</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一事一议</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kern w:val="0"/>
                <w:sz w:val="21"/>
                <w:szCs w:val="21"/>
                <w:bdr w:val="none" w:color="auto" w:sz="0" w:space="0"/>
                <w:lang w:val="en-US" w:eastAsia="zh-CN" w:bidi="ar"/>
              </w:rPr>
              <w:t>四、申请程序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区电子商务产业发展领导小组办公室在每年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月份集中受理上一年度补助和奖励企业的申请。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区电子商务产业发展领导小组办公室根据我区电子商务发展实际情况和支持重点，对所受理项目进行评审提出是否支持的初步意见，报区政府审定。财政局在每年４月份根据相关程序拨付扶持资金。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333333"/>
                <w:spacing w:val="0"/>
                <w:kern w:val="0"/>
                <w:sz w:val="21"/>
                <w:szCs w:val="21"/>
                <w:bdr w:val="none" w:color="auto" w:sz="0" w:space="0"/>
                <w:lang w:val="en-US" w:eastAsia="zh-CN" w:bidi="ar"/>
              </w:rPr>
              <w:t>五、其它事项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本意见的扶持对象需建立健全财务会计管理制度，企业经营过程中没有违法或受到行政处罚的纪录，且在日常管理中配合做好统计工作，由区商务局进行统一考核；若考核不合格的企业一律取消当年度的所有扶持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本意见自</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2014</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年</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12</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月</w:t>
            </w: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1</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日起执行。本文件与之前区政府出台奖补规定存在重复或异议的，以本意见规定为准；如遇国家政策性变化，区政府可对本规定修改补充。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33333"/>
                <w:spacing w:val="0"/>
                <w:kern w:val="0"/>
                <w:sz w:val="21"/>
                <w:szCs w:val="21"/>
                <w:bdr w:val="none" w:color="auto" w:sz="0" w:space="0"/>
                <w:lang w:val="en-US" w:eastAsia="zh-CN" w:bidi="ar"/>
              </w:rPr>
              <w:t>3.</w:t>
            </w:r>
            <w:r>
              <w:rPr>
                <w:rFonts w:hint="default" w:ascii="仿宋_GB2312" w:hAnsi="Times New Roman" w:eastAsia="仿宋_GB2312" w:cs="仿宋_GB2312"/>
                <w:i w:val="0"/>
                <w:caps w:val="0"/>
                <w:color w:val="333333"/>
                <w:spacing w:val="0"/>
                <w:kern w:val="0"/>
                <w:sz w:val="21"/>
                <w:szCs w:val="21"/>
                <w:bdr w:val="none" w:color="auto" w:sz="0" w:space="0"/>
                <w:lang w:val="en-US" w:eastAsia="zh-CN" w:bidi="ar"/>
              </w:rPr>
              <w:t>本政策的最终解释权归鼓楼区人民政府。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84D4A"/>
    <w:rsid w:val="00327C03"/>
    <w:rsid w:val="1AB34672"/>
    <w:rsid w:val="1FAF28EE"/>
    <w:rsid w:val="229D59AD"/>
    <w:rsid w:val="27B949A7"/>
    <w:rsid w:val="2E0E575E"/>
    <w:rsid w:val="546C40E6"/>
    <w:rsid w:val="5B201742"/>
    <w:rsid w:val="61C84D4A"/>
    <w:rsid w:val="6B506498"/>
    <w:rsid w:val="6D535020"/>
    <w:rsid w:val="7BC2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2018-06-06T04:57:00Z</dcterms:created>
  <dc:creator>栾晓琴</dc:creator>
  <cp:lastModifiedBy>栾晓琴</cp:lastModifiedBy>
  <dcterms:modified xsi:type="dcterms:W3CDTF">2018-06-06T06:01:46Z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