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7651D5" w:rsidRPr="007651D5">
        <w:trPr>
          <w:trHeight w:val="370"/>
          <w:tblCellSpacing w:w="15" w:type="dxa"/>
          <w:jc w:val="center"/>
        </w:trPr>
        <w:tc>
          <w:tcPr>
            <w:tcW w:w="0" w:type="auto"/>
            <w:vAlign w:val="center"/>
            <w:hideMark/>
          </w:tcPr>
          <w:p w:rsidR="007651D5" w:rsidRPr="007651D5" w:rsidRDefault="007651D5" w:rsidP="007651D5">
            <w:pPr>
              <w:widowControl/>
              <w:jc w:val="center"/>
              <w:rPr>
                <w:rFonts w:ascii="宋体" w:eastAsia="宋体" w:hAnsi="宋体" w:cs="宋体"/>
                <w:b/>
                <w:bCs/>
                <w:color w:val="5C5C5C"/>
                <w:kern w:val="0"/>
                <w:sz w:val="32"/>
                <w:szCs w:val="32"/>
              </w:rPr>
            </w:pPr>
            <w:bookmarkStart w:id="0" w:name="_GoBack"/>
            <w:r w:rsidRPr="007651D5">
              <w:rPr>
                <w:rFonts w:ascii="宋体" w:eastAsia="宋体" w:hAnsi="宋体" w:cs="宋体"/>
                <w:b/>
                <w:bCs/>
                <w:color w:val="5C5C5C"/>
                <w:kern w:val="0"/>
                <w:sz w:val="32"/>
                <w:szCs w:val="32"/>
              </w:rPr>
              <w:t>中共金乡县委 金乡县人民政府关于加快网络经济发展的实施意见</w:t>
            </w:r>
            <w:bookmarkEnd w:id="0"/>
          </w:p>
        </w:tc>
      </w:tr>
      <w:tr w:rsidR="007651D5" w:rsidRPr="007651D5">
        <w:trPr>
          <w:tblCellSpacing w:w="15" w:type="dxa"/>
          <w:jc w:val="center"/>
        </w:trPr>
        <w:tc>
          <w:tcPr>
            <w:tcW w:w="0" w:type="auto"/>
            <w:vAlign w:val="center"/>
            <w:hideMark/>
          </w:tcPr>
          <w:p w:rsidR="007651D5" w:rsidRPr="007651D5" w:rsidRDefault="007651D5" w:rsidP="007651D5">
            <w:pPr>
              <w:widowControl/>
              <w:jc w:val="center"/>
              <w:rPr>
                <w:rFonts w:ascii="宋体" w:eastAsia="宋体" w:hAnsi="宋体" w:cs="宋体"/>
                <w:color w:val="5C5C5C"/>
                <w:kern w:val="0"/>
                <w:sz w:val="18"/>
                <w:szCs w:val="18"/>
              </w:rPr>
            </w:pPr>
            <w:r w:rsidRPr="007651D5">
              <w:rPr>
                <w:rFonts w:ascii="宋体" w:eastAsia="宋体" w:hAnsi="宋体" w:cs="宋体"/>
                <w:color w:val="5C5C5C"/>
                <w:kern w:val="0"/>
                <w:sz w:val="18"/>
                <w:szCs w:val="18"/>
              </w:rPr>
              <w:pict>
                <v:rect id="_x0000_i1025" style="width:0;height:.5pt" o:hralign="center" o:hrstd="t" o:hrnoshade="t" o:hr="t" fillcolor="#ddd" stroked="f"/>
              </w:pic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2065"/>
              <w:gridCol w:w="1545"/>
              <w:gridCol w:w="1560"/>
            </w:tblGrid>
            <w:tr w:rsidR="007651D5" w:rsidRPr="007651D5">
              <w:trPr>
                <w:tblCellSpacing w:w="15" w:type="dxa"/>
                <w:jc w:val="center"/>
              </w:trPr>
              <w:tc>
                <w:tcPr>
                  <w:tcW w:w="2000" w:type="pct"/>
                  <w:vAlign w:val="center"/>
                  <w:hideMark/>
                </w:tcPr>
                <w:p w:rsidR="007651D5" w:rsidRPr="007651D5" w:rsidRDefault="007651D5" w:rsidP="007651D5">
                  <w:pPr>
                    <w:widowControl/>
                    <w:jc w:val="center"/>
                    <w:rPr>
                      <w:rFonts w:ascii="宋体" w:eastAsia="宋体" w:hAnsi="宋体" w:cs="宋体"/>
                      <w:color w:val="5C5C5C"/>
                      <w:kern w:val="0"/>
                      <w:sz w:val="18"/>
                      <w:szCs w:val="18"/>
                    </w:rPr>
                  </w:pPr>
                  <w:r w:rsidRPr="007651D5">
                    <w:rPr>
                      <w:rFonts w:ascii="宋体" w:eastAsia="宋体" w:hAnsi="宋体" w:cs="宋体"/>
                      <w:color w:val="5C5C5C"/>
                      <w:kern w:val="0"/>
                      <w:sz w:val="18"/>
                      <w:szCs w:val="18"/>
                    </w:rPr>
                    <w:t xml:space="preserve">发布日期：2017-05-24 16:05:45 </w:t>
                  </w:r>
                </w:p>
              </w:tc>
              <w:tc>
                <w:tcPr>
                  <w:tcW w:w="0" w:type="auto"/>
                  <w:vAlign w:val="center"/>
                  <w:hideMark/>
                </w:tcPr>
                <w:p w:rsidR="007651D5" w:rsidRPr="007651D5" w:rsidRDefault="007651D5" w:rsidP="007651D5">
                  <w:pPr>
                    <w:widowControl/>
                    <w:jc w:val="center"/>
                    <w:rPr>
                      <w:rFonts w:ascii="宋体" w:eastAsia="宋体" w:hAnsi="宋体" w:cs="宋体"/>
                      <w:color w:val="5C5C5C"/>
                      <w:kern w:val="0"/>
                      <w:sz w:val="18"/>
                      <w:szCs w:val="18"/>
                    </w:rPr>
                  </w:pPr>
                  <w:r w:rsidRPr="007651D5">
                    <w:rPr>
                      <w:rFonts w:ascii="宋体" w:eastAsia="宋体" w:hAnsi="宋体" w:cs="宋体"/>
                      <w:color w:val="5C5C5C"/>
                      <w:kern w:val="0"/>
                      <w:sz w:val="18"/>
                      <w:szCs w:val="18"/>
                    </w:rPr>
                    <w:t xml:space="preserve">访问次数: </w:t>
                  </w:r>
                  <w:r w:rsidRPr="007651D5">
                    <w:rPr>
                      <w:rFonts w:ascii="宋体" w:eastAsia="宋体" w:hAnsi="宋体" w:cs="宋体"/>
                      <w:color w:val="5C5C5C"/>
                      <w:kern w:val="0"/>
                      <w:sz w:val="18"/>
                      <w:szCs w:val="18"/>
                    </w:rPr>
                    <w:pict/>
                  </w:r>
                  <w:r w:rsidRPr="007651D5">
                    <w:rPr>
                      <w:rFonts w:ascii="宋体" w:eastAsia="宋体" w:hAnsi="宋体" w:cs="宋体"/>
                      <w:color w:val="5C5C5C"/>
                      <w:kern w:val="0"/>
                      <w:sz w:val="18"/>
                      <w:szCs w:val="18"/>
                    </w:rPr>
                    <w:t>152</w:t>
                  </w:r>
                </w:p>
              </w:tc>
              <w:tc>
                <w:tcPr>
                  <w:tcW w:w="1500" w:type="pct"/>
                  <w:vAlign w:val="center"/>
                  <w:hideMark/>
                </w:tcPr>
                <w:p w:rsidR="007651D5" w:rsidRPr="007651D5" w:rsidRDefault="007651D5" w:rsidP="007651D5">
                  <w:pPr>
                    <w:widowControl/>
                    <w:jc w:val="center"/>
                    <w:rPr>
                      <w:rFonts w:ascii="宋体" w:eastAsia="宋体" w:hAnsi="宋体" w:cs="宋体"/>
                      <w:color w:val="5C5C5C"/>
                      <w:kern w:val="0"/>
                      <w:sz w:val="18"/>
                      <w:szCs w:val="18"/>
                    </w:rPr>
                  </w:pPr>
                  <w:r w:rsidRPr="007651D5">
                    <w:rPr>
                      <w:rFonts w:ascii="宋体" w:eastAsia="宋体" w:hAnsi="宋体" w:cs="宋体"/>
                      <w:color w:val="5C5C5C"/>
                      <w:kern w:val="0"/>
                      <w:sz w:val="18"/>
                      <w:szCs w:val="18"/>
                    </w:rPr>
                    <w:t xml:space="preserve">字号：[ </w:t>
                  </w:r>
                  <w:hyperlink r:id="rId4" w:history="1">
                    <w:r w:rsidRPr="007651D5">
                      <w:rPr>
                        <w:rFonts w:ascii="宋体" w:eastAsia="宋体" w:hAnsi="宋体" w:cs="宋体"/>
                        <w:color w:val="5C5C5C"/>
                        <w:kern w:val="0"/>
                        <w:sz w:val="18"/>
                        <w:szCs w:val="18"/>
                      </w:rPr>
                      <w:t>大</w:t>
                    </w:r>
                  </w:hyperlink>
                  <w:r w:rsidRPr="007651D5">
                    <w:rPr>
                      <w:rFonts w:ascii="宋体" w:eastAsia="宋体" w:hAnsi="宋体" w:cs="宋体"/>
                      <w:color w:val="5C5C5C"/>
                      <w:kern w:val="0"/>
                      <w:sz w:val="18"/>
                      <w:szCs w:val="18"/>
                    </w:rPr>
                    <w:t xml:space="preserve"> </w:t>
                  </w:r>
                  <w:hyperlink r:id="rId5" w:history="1">
                    <w:r w:rsidRPr="007651D5">
                      <w:rPr>
                        <w:rFonts w:ascii="宋体" w:eastAsia="宋体" w:hAnsi="宋体" w:cs="宋体"/>
                        <w:color w:val="5C5C5C"/>
                        <w:kern w:val="0"/>
                        <w:sz w:val="18"/>
                        <w:szCs w:val="18"/>
                      </w:rPr>
                      <w:t>中</w:t>
                    </w:r>
                  </w:hyperlink>
                  <w:r w:rsidRPr="007651D5">
                    <w:rPr>
                      <w:rFonts w:ascii="宋体" w:eastAsia="宋体" w:hAnsi="宋体" w:cs="宋体"/>
                      <w:color w:val="5C5C5C"/>
                      <w:kern w:val="0"/>
                      <w:sz w:val="18"/>
                      <w:szCs w:val="18"/>
                    </w:rPr>
                    <w:t xml:space="preserve"> </w:t>
                  </w:r>
                  <w:hyperlink r:id="rId6" w:history="1">
                    <w:r w:rsidRPr="007651D5">
                      <w:rPr>
                        <w:rFonts w:ascii="宋体" w:eastAsia="宋体" w:hAnsi="宋体" w:cs="宋体"/>
                        <w:color w:val="5C5C5C"/>
                        <w:kern w:val="0"/>
                        <w:sz w:val="18"/>
                        <w:szCs w:val="18"/>
                      </w:rPr>
                      <w:t>小</w:t>
                    </w:r>
                  </w:hyperlink>
                  <w:r w:rsidRPr="007651D5">
                    <w:rPr>
                      <w:rFonts w:ascii="宋体" w:eastAsia="宋体" w:hAnsi="宋体" w:cs="宋体"/>
                      <w:color w:val="5C5C5C"/>
                      <w:kern w:val="0"/>
                      <w:sz w:val="18"/>
                      <w:szCs w:val="18"/>
                    </w:rPr>
                    <w:t xml:space="preserve"> ]</w:t>
                  </w:r>
                </w:p>
              </w:tc>
            </w:tr>
          </w:tbl>
          <w:p w:rsidR="007651D5" w:rsidRPr="007651D5" w:rsidRDefault="007651D5" w:rsidP="007651D5">
            <w:pPr>
              <w:widowControl/>
              <w:jc w:val="center"/>
              <w:rPr>
                <w:rFonts w:ascii="宋体" w:eastAsia="宋体" w:hAnsi="宋体" w:cs="宋体"/>
                <w:color w:val="5C5C5C"/>
                <w:kern w:val="0"/>
                <w:sz w:val="18"/>
                <w:szCs w:val="18"/>
              </w:rPr>
            </w:pPr>
            <w:r w:rsidRPr="007651D5">
              <w:rPr>
                <w:rFonts w:ascii="宋体" w:eastAsia="宋体" w:hAnsi="宋体" w:cs="宋体"/>
                <w:color w:val="5C5C5C"/>
                <w:kern w:val="0"/>
                <w:sz w:val="18"/>
                <w:szCs w:val="18"/>
              </w:rPr>
              <w:pict>
                <v:rect id="_x0000_i1027" style="width:0;height:.5pt" o:hralign="center" o:hrstd="t" o:hrnoshade="t" o:hr="t" fillcolor="#ddd" stroked="f"/>
              </w:pict>
            </w:r>
          </w:p>
          <w:p w:rsidR="007651D5" w:rsidRPr="007651D5" w:rsidRDefault="007651D5" w:rsidP="007651D5">
            <w:pPr>
              <w:widowControl/>
              <w:spacing w:after="240"/>
              <w:jc w:val="center"/>
              <w:rPr>
                <w:rFonts w:ascii="宋体" w:eastAsia="宋体" w:hAnsi="宋体" w:cs="宋体"/>
                <w:color w:val="5C5C5C"/>
                <w:kern w:val="0"/>
                <w:sz w:val="18"/>
                <w:szCs w:val="18"/>
              </w:rPr>
            </w:pPr>
          </w:p>
        </w:tc>
      </w:tr>
      <w:tr w:rsidR="007651D5" w:rsidRPr="007651D5">
        <w:trPr>
          <w:tblCellSpacing w:w="15" w:type="dxa"/>
          <w:jc w:val="center"/>
        </w:trPr>
        <w:tc>
          <w:tcPr>
            <w:tcW w:w="0" w:type="auto"/>
            <w:vAlign w:val="center"/>
            <w:hideMark/>
          </w:tcPr>
          <w:p w:rsidR="007651D5" w:rsidRPr="007651D5" w:rsidRDefault="007651D5" w:rsidP="007651D5">
            <w:pPr>
              <w:widowControl/>
              <w:spacing w:line="480" w:lineRule="auto"/>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金发〔2017〕5号</w:t>
            </w:r>
          </w:p>
          <w:p w:rsidR="007651D5" w:rsidRPr="007651D5" w:rsidRDefault="007651D5" w:rsidP="007651D5">
            <w:pPr>
              <w:widowControl/>
              <w:spacing w:line="480" w:lineRule="auto"/>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（2017年4月18日）</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 </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为深入贯彻实施“网络经济兴县”战略，加快推进互联网与经济社会各领域全面融合、深化发展，助推我县经济转型升级、换道超车。经研究决定，制定本实施意见。</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一、指导思想</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网络经济是一种建立在计算机网络基础之上，以现代信息技术为核心的新经济形态，已成为当今世界发展最快、创新最活跃、覆盖面最广、渗透性最强的战略性新兴产业。实现金乡“跨入全省第一方阵”目标，必须顺应网络经济发展趋势，坚持“开放创新、无界融合、市场主导”原则，以创建“中国网络经济示范县”为统领，把发展网络经济作为新一号工程，运用互联网思维、互联网技术、互联网手段，深入实施“上楼、下乡、进厂、入户”四大工程，加快推进“互联网”+农业、工业、商贸等七大领域融合发展，大力发展电子信息制造业、互联网服务业两个关键行业，夯实人才招引、政策扶持、支持“双创”等五大支撑，真正让网络经济成为新常态下我县经济结</w:t>
            </w:r>
            <w:r w:rsidRPr="007651D5">
              <w:rPr>
                <w:rFonts w:ascii="宋体" w:eastAsia="宋体" w:hAnsi="宋体" w:cs="宋体" w:hint="eastAsia"/>
                <w:color w:val="000000"/>
                <w:kern w:val="0"/>
                <w:sz w:val="24"/>
                <w:szCs w:val="24"/>
              </w:rPr>
              <w:lastRenderedPageBreak/>
              <w:t>构调整、城乡转型升级、产城联动发展的核心驱动力，推动我县经济社会发展全面提质增效。</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二、发展目标</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到2018年,我县网络经济与实体经济协同互动的发展格局初步形成，电子信息制造业、互联网服务业等新兴业态初具规模,智慧城市建设取得显著效果, 社会服务事项网上办理率达70%以上,全县电子商务交易额GDP占比突破20%,创建成2个省级电子商务示范基地；到2020年,互联网与产业发展深度融合,社会服务事项网上办理率达到100%,网络经济增速年均达到50%以上，培育2—3家上市公司，逐步形成上市公司生态群，创建成为中国网络经济示范县，跨入全省县域经济发展第一方阵，加快向中国经济百强县迈进。</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三、发展重点</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一）“互联网+”农业。运用互联网大数据，依托我县特色种植优势，发挥大蒜产业龙头带动作用，设立大蒜产业办公室，统筹推动大蒜全产业链发展，推进以大蒜为主的大宗农副产品电子交易；整合全县涉农信息资源，构建集生产实时监测、远程采集、质量管理、购销服务等为一体的智慧农业综合服务平台，加快我县农产品标准化建设步伐；大力推广有机大蒜生产标准，建立健全蒜种培育、科学栽培、有机配肥管理、质量安全追溯等全流程有机化管理体系，实现金乡大蒜增值增效，做强擦靓“金乡大蒜”品牌；以“一区四园”为统领，坚持一镇一品、一村一特，加快发展高效设施农业，促进乡村旅游、农家乐、养老养生等农村经济新业态的发展；支持和鼓励电商企</w:t>
            </w:r>
            <w:r w:rsidRPr="007651D5">
              <w:rPr>
                <w:rFonts w:ascii="宋体" w:eastAsia="宋体" w:hAnsi="宋体" w:cs="宋体" w:hint="eastAsia"/>
                <w:color w:val="000000"/>
                <w:kern w:val="0"/>
                <w:sz w:val="24"/>
                <w:szCs w:val="24"/>
              </w:rPr>
              <w:lastRenderedPageBreak/>
              <w:t>业到农村拓展业务，加快推进更多特色农产品销售上行。（牵头单位：县农业局，责任单位：县商务局、县供销社、各镇街）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二）“互联网+”工业。深入对接“中国制造2025”，加快推进两化深度融合，引导我县主导行业骨干企业，用全球化视野，整合全球资源，积极通过触网、用网、融网，真正收获互联网发展带给企业的红利；鼓励凯赛、如意、华光、金曼克、金人等骨干企业组建金乡新材料产业、纺织服装、食品加工、智能输配电产业发展联盟，示范推动企业研发设计、生产制造、企业管理和销售服务的智能化改造，带动传统产业转型升级，加快形成制造业网络化生态体系。到2020年，全县创建6个智慧工厂，培育两化融合示范企业12家。（牵头单位：县经信局，责任单位：县科技局、县中小企业局、三大工业园区、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三）“互联网+”商贸。加强与中国电商公共服务联盟的协作，加快与国内外知名电商企业的合作，培育发展商贸新零售，支持京信云农、蒜通天下、云蒜网等本土电商服务平台发展壮大，到2020年，培育发展3个特色电子商务平台，创建2家省级电子商务示范企业；拓展县、乡两级农村电子商务公共服务平台建设，加快农村电子商务服务网点和物流体系建设，实现农村电商网点“县、乡、村”三级全覆盖，建成1000个农村电商服务点，培育一批特色电商村、电商镇；引导我县传统企业借助第三方电子商务交易平台或自建电子商务营销平台开展营销活动，开拓市场、扩大销售；积极发展跨境电子商务，加强与跨境电商合作，搭建跨境电商服务平台，依托济宁内陆港和蒜</w:t>
            </w:r>
            <w:r w:rsidRPr="007651D5">
              <w:rPr>
                <w:rFonts w:ascii="宋体" w:eastAsia="宋体" w:hAnsi="宋体" w:cs="宋体" w:hint="eastAsia"/>
                <w:color w:val="000000"/>
                <w:kern w:val="0"/>
                <w:sz w:val="24"/>
                <w:szCs w:val="24"/>
              </w:rPr>
              <w:lastRenderedPageBreak/>
              <w:t>都农产品物流园，规划建设跨境电商集聚区、跨境电商产业园；大力招引国内外大型现代物流企业，加快构建智慧物流体系。（牵头单位：县商务局，责任单位：县农业局、县供销社、商贸物流区、三大工业园区、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（四）“互联网+”文化旅游。深入挖掘诚信文化、兵家文化等传统文化内涵，积极开发移动文化产品、数字娱乐产品, 推进网上金乡图书馆、博物馆、艺术馆、太极馆建设，丰富互联网文化内容，促进文化惠民；加快互联网与旅游业融合发展，创新线上线下相结合的旅游营销新模式，建设金乡智慧旅游综合管理平台，为景区、旅游服务单位、游客提供一站式解决方案；运用互联网思维、模式、平台，集聚创新资源，汇聚创新成果，启动建设莱河新区健康养生小镇、中华圣贤阁、民俗村等特色景点。（牵头单位：县文物旅游局，责任单位：县文广新局、县住建局、羊山景区管委会、县九湖五河景区管理局）</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五）“互联网+”金融。吸引国内外战略投资、风险投资、私募股权投资、股权交易市场等机构在我县设立独立法人机构，或参与我县网络经济企业战略投资；支持我县11家持牌金融机构发展网上综合性金融服务，创新网络支付手段，加强支付安全管理；鼓励我县传统企业规范开展第三方支付平台、P2P网络小额信贷、虚拟物品交易等互联网金融服务。到2020年，形成5家以上业内领先知名度高的互联网金融企业，形成2个交易规模大创新能力强的互联网金融集聚区（金</w:t>
            </w:r>
            <w:r w:rsidRPr="007651D5">
              <w:rPr>
                <w:rFonts w:ascii="宋体" w:eastAsia="宋体" w:hAnsi="宋体" w:cs="宋体" w:hint="eastAsia"/>
                <w:color w:val="000000"/>
                <w:kern w:val="0"/>
                <w:sz w:val="24"/>
                <w:szCs w:val="24"/>
              </w:rPr>
              <w:lastRenderedPageBreak/>
              <w:t>融小镇、金融街）。（牵头单位：县金融办，责任单位：县人民银行、县银监办）</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六）“互联网+”政务。强化顶层设计和标准的引导作用，综合考虑金乡区域特点、产业结构、城市管理、市民生活等因素，建立智慧金乡云平台，大力发展智能交通、智能水务、智能管网、智能建筑等，实现城市基础设施和公共服务智能化；加强在市场监管、环境监测、信用服务、应急保障、治安防控、公共安全等社会治理领域集成应用，提高城市科学管理水平。到2020年，全面建成纵横贯通全县的政务网络及政务服务体系。（牵头单位：县智慧城市建设办公室，责任单位：县政府办公室、县直有关部门、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七）“互联网+”民生。发展便民服务新业态，大力实施电商入户工程，打造真产品、实价格、零距离购物体验，在餐饮、娱乐、家政等领域培育线上线下结合的社区服务新模式，到2020年，在全县打造10个功能齐备、业态合理的“智慧社区”；加快“互联网医院”上线，推广在线医疗卫生新模式，为群众提供在线预约诊疗、候诊提醒、划价缴费、诊疗查询、药品配送等便捷医疗服务；促进智慧健康养老产业发展，以社区为单位，搭建养老信息服务网络平台，提供护理看护、健康管理、康复照料等居家养老服务；依托教育资源服务平台，加强数字化教育教学资源建设，到2020年，实现义务教育课程资源电子化覆盖率、农村学校远程教育应用覆盖率均达到100%。（牵头单位：县智慧城市建设办公室，责任单位：县住建局、县民政局、县商务局、县卫计局、县教体局、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lastRenderedPageBreak/>
              <w:t>四、关键产业</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一）大力发展电子信息制造业。在县经济开发区设立“互联网及信息技术制造产业园”，加大智能制造、物联网、移动通信等新兴产业的招引力度，构建以云计算、大数据、移动互联网为重点的信息产业体系；借助新材料产业园升级为省级园区的机遇，着力培育石墨烯、新型电子元器件等新兴产业。（牵头单位：县招商局，责任单位：县经信局、县科技局、新材料产业园区、县经济开发区、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二）培育壮大和引进互联网服务业。依托中国电商公共服务联盟平台，发挥武汉博大科技集团渠道优势，大力招引知名互联网服务商，为传统企业量身定制个性化的互联网解决方案，并提供咨询设计、数据分析、流程优化、运营管理等服务；大力发展信息网络新经济形态，做好技术支持、故障诊断、检测、维护、保养等全产业链延伸服务，实现制造向“制造+服务”的转型升级。（牵头单位：县发改局，责任单位：县经信局、县科技局、县中小企业局）</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五、扶持举措</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一）实施四大工程。“上楼”，即在全县各级干部中大力普及互联网思维，开展互联网知识教育和培训，让全体党员干部树立互联网思维，凝聚网络发展共识，真正做到学网、懂网、用网，加快推进政务服务、政务办公的网络化、智能化，提升工作效率，到2020年党政机关网络办公自动化比例达到80%以上；“下乡”，即大力实施互联网进村，加快发展农村电子商务，健全农村电商生态圈，到2018年，</w:t>
            </w:r>
            <w:r w:rsidRPr="007651D5">
              <w:rPr>
                <w:rFonts w:ascii="宋体" w:eastAsia="宋体" w:hAnsi="宋体" w:cs="宋体" w:hint="eastAsia"/>
                <w:color w:val="000000"/>
                <w:kern w:val="0"/>
                <w:sz w:val="24"/>
                <w:szCs w:val="24"/>
              </w:rPr>
              <w:lastRenderedPageBreak/>
              <w:t>创成全国电子商务进农村综合示范县；“进厂”，即大力实施“互联网+产业”，推动机电制造、新材料、健康食品、金融服务、现代物流等各类企业融合发展，真正通过与互联网的深度对接，实现企业发展壮大，每年网络经济转化率达到85%以上；“入户”，深入实施互联网惠民工程，通过政府购买服务、奖励和补贴等方式，在公共场所免费开放WiFi推进光纤入户。到2020年，我县城区家庭全部具备100兆光纤接入能力，城镇及全部行政村光网覆盖率达100%，光纤发展、宽带普及率、宽带速率等主要信息基础设施建设指标超过全省平均水平。全力打造功能完善、特色突出的综合性门户网络平台—蒜都空间，统筹引领和服务全县网络经济各领域、各环节。（牵头单位：县网络经济发展局，责任单位：县委组织部、县经信局、县人社局、县商务局、县移动公司、县联通公司、县电信公司、各镇街）</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二）支持“双创”。降低创业门槛，互联网企业登记注册实行“先照后证”，进一步简化互联网企业住所登记手续，允许使用自有或租用的住宅或集中办公区域作为住所（经营场所）办理工商登记，大力营造宽松便捷的创业环境；实施“一二四”工程，加大财政奖补力度，鼓励企业新建或利用闲置厂房、楼宇设立网络经济产业园，加快双创基地、青创空间等各类网络经济创业基地建设，到2020年，分别建成国家级、省级、市级示范基地1个、2个、4个；依托智慧产业园、亿九科技孵化器等电商产业园，支持发展“创新工场”、“创业咖啡”等各种形式众创空间，加快建设一批产业集聚区、工业园区、商业综合体等创业平台，为广大创新创业者提供良好的工作、网络、</w:t>
            </w:r>
            <w:r w:rsidRPr="007651D5">
              <w:rPr>
                <w:rFonts w:ascii="宋体" w:eastAsia="宋体" w:hAnsi="宋体" w:cs="宋体" w:hint="eastAsia"/>
                <w:color w:val="000000"/>
                <w:kern w:val="0"/>
                <w:sz w:val="24"/>
                <w:szCs w:val="24"/>
              </w:rPr>
              <w:lastRenderedPageBreak/>
              <w:t>社交和资源共享场所。（牵头单位：县人社局，责任单位：县工商局、县科技局、县经信局、县中小企业局）</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三）招引专业人才。深化与中国电商公共服务联盟的协作，围绕“互联网+”发展需要，大力引进高层次创新创业人才；加大柔性引进力度，改进人才培养引进机制、创新人才评价使用机制、强化人才激励保障机制，设立人才引进基金，不拘一格加大对互联网紧缺人才的引进，对优秀互联网双创团队一次性给予整个团队50—300万元经费资助，为团队成员家属就业、子女入学、落户等方面提供特殊照顾；建立以武汉博大科技集团为主的网络经济发展专家库，发挥其在规划编制、政策制定、项目论证等方面的“思想库”、“智囊团”作用。（牵头单位：县人社局，责任单位：县直有关部门）</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四）加大政策扶持。设立1亿元网络经济发展专项扶持资金，全力支持“一镇、两社区、三村”网络经济示范点、“互联网+金乡品牌”电商企业示范点打造，对月点击量突破10万次、年销售本地产品1000万元以上的企业，以及列入省、市级创新示范试点或网络经济研究项目，按照一定比例给予相应奖励；对被认定为国家级、省级、市级网络经济示范基地（园区），在国家、省、市奖励的基础上，分别再一次性给予60%的奖励；对本地企业组建产业联盟，视其运行情况给予100万-200万元的扶持资金；运用银行专项贷款风险补偿资金，支持轻资产互联网企业信用贷款，每年对互联网企业切块不少于1000万元的担保信用额度，且担保费用不高于1.5%；支持互联网企业申报高新技术企业认定、双软认定、技术先进型服务企业认定，对新上互联</w:t>
            </w:r>
            <w:r w:rsidRPr="007651D5">
              <w:rPr>
                <w:rFonts w:ascii="宋体" w:eastAsia="宋体" w:hAnsi="宋体" w:cs="宋体" w:hint="eastAsia"/>
                <w:color w:val="000000"/>
                <w:kern w:val="0"/>
                <w:sz w:val="24"/>
                <w:szCs w:val="24"/>
              </w:rPr>
              <w:lastRenderedPageBreak/>
              <w:t>网企业，形成的地方经济贡献，给予奖励补助，前3年全额奖励，后2年奖励50%；对在主板、创业板、新三板成功挂牌上市的互联网企业进行重奖，对入驻智慧产业园、亿九科技孵化器、邮政电商产业园等的互联网企业，由园区管理单位提供相应办公场所，入驻前三年场地租金、宽带使用费、水电费全免；大力招引互联网行业龙头企业，对国内外知名互联网企业（中国电子信息100强企业、中国软件100强企业、中国互联网100强企业、全球软件500强企业）总部整体迁入我县，或在我县设立区域性总部、独立核算的分支机构，一次性给予200万元落户奖励，用于企业技术研发、品牌推广、市场拓展和人力资源开发等。（牵头单位：县网络经济发展局，责任单位：县财政局、县商务局、县经信局、县金融办、县人民银行）</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五）构建诚信体系。大力宣传弘扬诚信文化，擦亮“诚信之乡”品牌，运用互联网大数据技术，建立全县企业法人、行政事业单位及自然人的征信体系，加强对信息服务、网络交易、产品质量等监管，严厉打击互联网领域知识产权侵权假冒行为，并将侵权、假冒行为纳入社会信用体系，规范个人、企业信用信息的公开和使用；引进全国知名的信用服务机构来我县开展信用评估服务，开发信用产品，在全市率先启动社会诚信体系建设。（责任单位：县委宣传部、县发改局、县网信办、县法院、县公安局、县工商局、县金融办、县人民银行）</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六、保障措施</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lastRenderedPageBreak/>
              <w:t>（一）加强组织领导。成立由县主要领导担任组长，网络专家学者及团队参与，相关职能部门一把手为成员的网络经济发展战略实施领导小组，统筹和协调全县网络经济发展；充分发挥县网络经济发展局的职能，定期协调解决网络经济发展中的具体问题。（责任单位：县网络经济发展局）</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二）强化督导考核。建立网络经济信息统计体系和评价考核体系，把各镇街、园区盘活存量资源发展网络经济、引进网络经济项目、互联网技术应用等作为考核核心内容，各镇街、园区网络经济发展的各项指标应按照每年不低于50%的增幅进行细化量化，由县网络经济发展局配合县考核办制定详细的考核办法，以严格的督导考核促进网络经济快速发展。（牵头单位：县考核办，责任单位：县网络经济发展局、各镇街、园区）</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三）强化教育培训。建立完善的培训体系，上线运行网络在线学习中心，引进互联网业内专家学者来金授课，加强对党员干部特别是领导干部的网络思维培训，注重培训质量，扩大培训层面，突出培训效果，切实提高全县党员干部的触网、用网、融网水平；以网络经济名企、名网、名家为抓手，加强对各企业负责人、电商从业人员的网络培训，加快培育一批知名网络经济企业、知名网站、知名企业家。（牵头单位：县网络经济发展局，责任单位：县委组织部、县直有关部门）</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（四）营造舆论氛围。持续加大网络经济宣传力度，在县广播电视台、金乡新闻报开辟网络经济发展专栏，在主要道路、城市中心、</w:t>
            </w:r>
            <w:r w:rsidRPr="007651D5">
              <w:rPr>
                <w:rFonts w:ascii="宋体" w:eastAsia="宋体" w:hAnsi="宋体" w:cs="宋体" w:hint="eastAsia"/>
                <w:color w:val="000000"/>
                <w:kern w:val="0"/>
                <w:sz w:val="24"/>
                <w:szCs w:val="24"/>
              </w:rPr>
              <w:lastRenderedPageBreak/>
              <w:t>文化广场等关键节点制作网络经济标识牌、宣传栏，建设网络经济体验馆、示范点，引导全县上下树立互联网思维，营造上下联动、一体发展的舆论氛围；宣传报道外地先进经验、本地成功案例，开展网络经济风云企业和“十佳”市民评选活动，高标准打造县域网络经济文化节，打造适合网络经济发展的社会生态。（牵头单位：县委宣传部，责任单位：县网络经济发展局、县文广新局、县城市管理行政执法局）</w:t>
            </w:r>
          </w:p>
          <w:p w:rsidR="007651D5" w:rsidRPr="007651D5" w:rsidRDefault="007651D5" w:rsidP="007651D5">
            <w:pPr>
              <w:widowControl/>
              <w:spacing w:line="480" w:lineRule="auto"/>
              <w:ind w:firstLineChars="200" w:firstLine="480"/>
              <w:jc w:val="center"/>
              <w:rPr>
                <w:rFonts w:ascii="宋体" w:eastAsia="宋体" w:hAnsi="宋体" w:cs="宋体"/>
                <w:color w:val="000000"/>
                <w:kern w:val="0"/>
                <w:sz w:val="24"/>
                <w:szCs w:val="24"/>
              </w:rPr>
            </w:pPr>
            <w:r w:rsidRPr="007651D5">
              <w:rPr>
                <w:rFonts w:ascii="宋体" w:eastAsia="宋体" w:hAnsi="宋体" w:cs="宋体" w:hint="eastAsia"/>
                <w:color w:val="000000"/>
                <w:kern w:val="0"/>
                <w:sz w:val="24"/>
                <w:szCs w:val="24"/>
              </w:rPr>
              <w:t>（五）保障信息安全。健全完善网络安全保障体系，实现互联网数据资源的安全存储与应急备份，加快网络安全保障基础设施智能化和全覆盖；探索建立网络安全监控预警、应急响应联动机制，推动信息安全风险评估、等级保护和安全保密检查的制度化、规范化、常态化。（责任单位：县网络经济发展局、县公安局、县经信局）</w:t>
            </w:r>
          </w:p>
          <w:p w:rsidR="007651D5" w:rsidRPr="007651D5" w:rsidRDefault="007651D5" w:rsidP="007651D5">
            <w:pPr>
              <w:widowControl/>
              <w:spacing w:before="100" w:beforeAutospacing="1" w:after="100" w:afterAutospacing="1" w:line="390" w:lineRule="atLeast"/>
              <w:jc w:val="center"/>
              <w:rPr>
                <w:rFonts w:ascii="宋体" w:eastAsia="宋体" w:hAnsi="宋体" w:cs="宋体"/>
                <w:color w:val="000000"/>
                <w:kern w:val="0"/>
                <w:szCs w:val="21"/>
              </w:rPr>
            </w:pPr>
            <w:r w:rsidRPr="007651D5">
              <w:rPr>
                <w:rFonts w:ascii="宋体" w:eastAsia="宋体" w:hAnsi="宋体" w:cs="宋体"/>
                <w:color w:val="000000"/>
                <w:kern w:val="0"/>
                <w:szCs w:val="21"/>
              </w:rPr>
              <w:t> </w:t>
            </w:r>
          </w:p>
        </w:tc>
      </w:tr>
      <w:tr w:rsidR="007651D5" w:rsidRPr="007651D5">
        <w:trPr>
          <w:trHeight w:val="100"/>
          <w:tblCellSpacing w:w="15" w:type="dxa"/>
          <w:jc w:val="center"/>
        </w:trPr>
        <w:tc>
          <w:tcPr>
            <w:tcW w:w="0" w:type="auto"/>
            <w:tcMar>
              <w:top w:w="15" w:type="dxa"/>
              <w:left w:w="900" w:type="dxa"/>
              <w:bottom w:w="15" w:type="dxa"/>
              <w:right w:w="15" w:type="dxa"/>
            </w:tcMar>
            <w:vAlign w:val="center"/>
            <w:hideMark/>
          </w:tcPr>
          <w:p w:rsidR="007651D5" w:rsidRPr="007651D5" w:rsidRDefault="007651D5" w:rsidP="007651D5">
            <w:pPr>
              <w:widowControl/>
              <w:spacing w:line="390" w:lineRule="atLeast"/>
              <w:jc w:val="left"/>
              <w:rPr>
                <w:rFonts w:ascii="宋体" w:eastAsia="宋体" w:hAnsi="宋体" w:cs="宋体"/>
                <w:color w:val="000000"/>
                <w:kern w:val="0"/>
                <w:szCs w:val="21"/>
              </w:rPr>
            </w:pPr>
          </w:p>
        </w:tc>
      </w:tr>
    </w:tbl>
    <w:p w:rsidR="00E47B3B" w:rsidRDefault="00E47B3B"/>
    <w:sectPr w:rsidR="00E47B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D5"/>
    <w:rsid w:val="007651D5"/>
    <w:rsid w:val="00E4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84C6E-50FA-47F1-AFBE-15BCC4EF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1D5"/>
    <w:rPr>
      <w:strike w:val="0"/>
      <w:dstrike w:val="0"/>
      <w:color w:val="5C5C5C"/>
      <w:u w:val="none"/>
      <w:effect w:val="none"/>
    </w:rPr>
  </w:style>
  <w:style w:type="paragraph" w:styleId="a4">
    <w:name w:val="Normal (Web)"/>
    <w:basedOn w:val="a"/>
    <w:uiPriority w:val="99"/>
    <w:semiHidden/>
    <w:unhideWhenUsed/>
    <w:rsid w:val="007651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968925">
      <w:bodyDiv w:val="1"/>
      <w:marLeft w:val="0"/>
      <w:marRight w:val="0"/>
      <w:marTop w:val="0"/>
      <w:marBottom w:val="0"/>
      <w:divBdr>
        <w:top w:val="none" w:sz="0" w:space="0" w:color="auto"/>
        <w:left w:val="none" w:sz="0" w:space="0" w:color="auto"/>
        <w:bottom w:val="none" w:sz="0" w:space="0" w:color="auto"/>
        <w:right w:val="none" w:sz="0" w:space="0" w:color="auto"/>
      </w:divBdr>
      <w:divsChild>
        <w:div w:id="398869408">
          <w:marLeft w:val="0"/>
          <w:marRight w:val="0"/>
          <w:marTop w:val="0"/>
          <w:marBottom w:val="0"/>
          <w:divBdr>
            <w:top w:val="none" w:sz="0" w:space="0" w:color="auto"/>
            <w:left w:val="none" w:sz="0" w:space="0" w:color="auto"/>
            <w:bottom w:val="none" w:sz="0" w:space="0" w:color="auto"/>
            <w:right w:val="none" w:sz="0" w:space="0" w:color="auto"/>
          </w:divBdr>
          <w:divsChild>
            <w:div w:id="3549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2018-05-25T09:23:00Z</dcterms:created>
  <dcterms:modified xsi:type="dcterms:W3CDTF">2018-05-25T09:23:00Z</dcterms:modified>
</cp:coreProperties>
</file>