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0E5" w:rsidRPr="003B30E5" w:rsidRDefault="003B30E5" w:rsidP="003B30E5">
      <w:pPr>
        <w:widowControl/>
        <w:shd w:val="clear" w:color="auto" w:fill="F4F4F4"/>
        <w:spacing w:line="630" w:lineRule="atLeast"/>
        <w:jc w:val="center"/>
        <w:rPr>
          <w:rFonts w:ascii="Microsoft Yahei" w:eastAsia="宋体" w:hAnsi="Microsoft Yahei" w:cs="宋体"/>
          <w:color w:val="BE0B0B"/>
          <w:kern w:val="0"/>
          <w:sz w:val="39"/>
          <w:szCs w:val="39"/>
        </w:rPr>
      </w:pPr>
      <w:bookmarkStart w:id="0" w:name="_GoBack"/>
      <w:r w:rsidRPr="003B30E5">
        <w:rPr>
          <w:rFonts w:ascii="Microsoft Yahei" w:eastAsia="宋体" w:hAnsi="Microsoft Yahei" w:cs="宋体"/>
          <w:color w:val="BE0B0B"/>
          <w:kern w:val="0"/>
          <w:sz w:val="39"/>
          <w:szCs w:val="39"/>
        </w:rPr>
        <w:t>泰山政发〔</w:t>
      </w:r>
      <w:r w:rsidRPr="003B30E5">
        <w:rPr>
          <w:rFonts w:ascii="Microsoft Yahei" w:eastAsia="宋体" w:hAnsi="Microsoft Yahei" w:cs="宋体"/>
          <w:color w:val="BE0B0B"/>
          <w:kern w:val="0"/>
          <w:sz w:val="39"/>
          <w:szCs w:val="39"/>
        </w:rPr>
        <w:t>2017</w:t>
      </w:r>
      <w:r w:rsidRPr="003B30E5">
        <w:rPr>
          <w:rFonts w:ascii="Microsoft Yahei" w:eastAsia="宋体" w:hAnsi="Microsoft Yahei" w:cs="宋体"/>
          <w:color w:val="BE0B0B"/>
          <w:kern w:val="0"/>
          <w:sz w:val="39"/>
          <w:szCs w:val="39"/>
        </w:rPr>
        <w:t>〕</w:t>
      </w:r>
      <w:r w:rsidRPr="003B30E5">
        <w:rPr>
          <w:rFonts w:ascii="Microsoft Yahei" w:eastAsia="宋体" w:hAnsi="Microsoft Yahei" w:cs="宋体"/>
          <w:color w:val="BE0B0B"/>
          <w:kern w:val="0"/>
          <w:sz w:val="39"/>
          <w:szCs w:val="39"/>
        </w:rPr>
        <w:t>8</w:t>
      </w:r>
      <w:r w:rsidRPr="003B30E5">
        <w:rPr>
          <w:rFonts w:ascii="Microsoft Yahei" w:eastAsia="宋体" w:hAnsi="Microsoft Yahei" w:cs="宋体"/>
          <w:color w:val="BE0B0B"/>
          <w:kern w:val="0"/>
          <w:sz w:val="39"/>
          <w:szCs w:val="39"/>
        </w:rPr>
        <w:t>号泰安市泰山区人民政府关于大力培植</w:t>
      </w:r>
      <w:r w:rsidRPr="003B30E5">
        <w:rPr>
          <w:rFonts w:ascii="Microsoft Yahei" w:eastAsia="宋体" w:hAnsi="Microsoft Yahei" w:cs="宋体"/>
          <w:color w:val="BE0B0B"/>
          <w:kern w:val="0"/>
          <w:sz w:val="39"/>
          <w:szCs w:val="39"/>
        </w:rPr>
        <w:t>“</w:t>
      </w:r>
      <w:r w:rsidRPr="003B30E5">
        <w:rPr>
          <w:rFonts w:ascii="Microsoft Yahei" w:eastAsia="宋体" w:hAnsi="Microsoft Yahei" w:cs="宋体"/>
          <w:color w:val="BE0B0B"/>
          <w:kern w:val="0"/>
          <w:sz w:val="39"/>
          <w:szCs w:val="39"/>
        </w:rPr>
        <w:t>三强</w:t>
      </w:r>
      <w:r w:rsidRPr="003B30E5">
        <w:rPr>
          <w:rFonts w:ascii="Microsoft Yahei" w:eastAsia="宋体" w:hAnsi="Microsoft Yahei" w:cs="宋体"/>
          <w:color w:val="BE0B0B"/>
          <w:kern w:val="0"/>
          <w:sz w:val="39"/>
          <w:szCs w:val="39"/>
        </w:rPr>
        <w:t>”</w:t>
      </w:r>
      <w:r w:rsidRPr="003B30E5">
        <w:rPr>
          <w:rFonts w:ascii="Microsoft Yahei" w:eastAsia="宋体" w:hAnsi="Microsoft Yahei" w:cs="宋体"/>
          <w:color w:val="BE0B0B"/>
          <w:kern w:val="0"/>
          <w:sz w:val="39"/>
          <w:szCs w:val="39"/>
        </w:rPr>
        <w:t>工业企业的实施意见</w:t>
      </w:r>
    </w:p>
    <w:bookmarkEnd w:id="0"/>
    <w:p w:rsidR="003B30E5" w:rsidRPr="003B30E5" w:rsidRDefault="003B30E5" w:rsidP="003B30E5">
      <w:pPr>
        <w:widowControl/>
        <w:shd w:val="clear" w:color="auto" w:fill="F4F4F4"/>
        <w:spacing w:line="450" w:lineRule="atLeast"/>
        <w:jc w:val="left"/>
        <w:rPr>
          <w:rFonts w:ascii="Microsoft Yahei" w:eastAsia="宋体" w:hAnsi="Microsoft Yahei" w:cs="宋体"/>
          <w:color w:val="333333"/>
          <w:kern w:val="0"/>
          <w:szCs w:val="21"/>
        </w:rPr>
      </w:pPr>
      <w:r w:rsidRPr="003B30E5">
        <w:rPr>
          <w:rFonts w:ascii="新宋体" w:eastAsia="新宋体" w:hAnsi="新宋体" w:cs="宋体"/>
          <w:color w:val="333333"/>
          <w:kern w:val="0"/>
          <w:szCs w:val="21"/>
        </w:rPr>
        <w:t> </w:t>
      </w:r>
      <w:r w:rsidRPr="003B30E5">
        <w:rPr>
          <w:rFonts w:ascii="新宋体" w:eastAsia="新宋体" w:hAnsi="新宋体" w:cs="宋体"/>
          <w:color w:val="555555"/>
          <w:kern w:val="0"/>
          <w:sz w:val="32"/>
          <w:szCs w:val="32"/>
          <w:bdr w:val="none" w:sz="0" w:space="0" w:color="auto" w:frame="1"/>
        </w:rPr>
        <w:t> </w:t>
      </w:r>
      <w:r w:rsidRPr="003B30E5">
        <w:rPr>
          <w:rFonts w:ascii="Microsoft Yahei" w:eastAsia="宋体" w:hAnsi="Microsoft Yahei" w:cs="宋体"/>
          <w:color w:val="333333"/>
          <w:kern w:val="0"/>
          <w:szCs w:val="21"/>
        </w:rPr>
        <w:t xml:space="preserve"> </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为大力实施“工业兴区”战略，加快重点骨干企业发展，着力</w:t>
      </w:r>
      <w:r w:rsidRPr="003B30E5">
        <w:rPr>
          <w:rFonts w:ascii="新宋体" w:eastAsia="新宋体" w:hAnsi="新宋体" w:cs="宋体"/>
          <w:color w:val="3D3D3D"/>
          <w:kern w:val="0"/>
          <w:sz w:val="32"/>
          <w:szCs w:val="32"/>
          <w:bdr w:val="none" w:sz="0" w:space="0" w:color="auto" w:frame="1"/>
        </w:rPr>
        <w:t>培育一批“区域拉动力强、行业竞争力强、财税贡献能力强”的“三强”企业，</w:t>
      </w:r>
      <w:r w:rsidRPr="003B30E5">
        <w:rPr>
          <w:rFonts w:ascii="新宋体" w:eastAsia="新宋体" w:hAnsi="新宋体" w:cs="宋体"/>
          <w:color w:val="555555"/>
          <w:kern w:val="0"/>
          <w:sz w:val="32"/>
          <w:szCs w:val="32"/>
          <w:bdr w:val="none" w:sz="0" w:space="0" w:color="auto" w:frame="1"/>
        </w:rPr>
        <w:t>推动全区工业经济转型升级，根据</w:t>
      </w:r>
      <w:proofErr w:type="gramStart"/>
      <w:r w:rsidRPr="003B30E5">
        <w:rPr>
          <w:rFonts w:ascii="新宋体" w:eastAsia="新宋体" w:hAnsi="新宋体" w:cs="宋体"/>
          <w:color w:val="555555"/>
          <w:kern w:val="0"/>
          <w:sz w:val="32"/>
          <w:szCs w:val="32"/>
          <w:bdr w:val="none" w:sz="0" w:space="0" w:color="auto" w:frame="1"/>
        </w:rPr>
        <w:t>《泰安市人民政府关于大力培植“三强”企业的实施意见》</w:t>
      </w:r>
      <w:r w:rsidRPr="003B30E5">
        <w:rPr>
          <w:rFonts w:ascii="新宋体" w:eastAsia="新宋体" w:hAnsi="新宋体" w:cs="宋体"/>
          <w:color w:val="3D3D3D"/>
          <w:kern w:val="0"/>
          <w:sz w:val="32"/>
          <w:szCs w:val="32"/>
          <w:bdr w:val="none" w:sz="0" w:space="0" w:color="auto" w:frame="1"/>
        </w:rPr>
        <w:t>泰政发</w:t>
      </w:r>
      <w:proofErr w:type="gramEnd"/>
      <w:r w:rsidRPr="003B30E5">
        <w:rPr>
          <w:rFonts w:ascii="新宋体" w:eastAsia="新宋体" w:hAnsi="新宋体" w:cs="宋体"/>
          <w:color w:val="555555"/>
          <w:kern w:val="0"/>
          <w:sz w:val="32"/>
          <w:szCs w:val="32"/>
          <w:bdr w:val="none" w:sz="0" w:space="0" w:color="auto" w:frame="1"/>
        </w:rPr>
        <w:t>〔</w:t>
      </w:r>
      <w:r w:rsidRPr="003B30E5">
        <w:rPr>
          <w:rFonts w:ascii="新宋体" w:eastAsia="新宋体" w:hAnsi="新宋体" w:cs="宋体"/>
          <w:color w:val="555555"/>
          <w:kern w:val="0"/>
          <w:szCs w:val="21"/>
          <w:bdr w:val="none" w:sz="0" w:space="0" w:color="auto" w:frame="1"/>
        </w:rPr>
        <w:t>2017</w:t>
      </w:r>
      <w:r w:rsidRPr="003B30E5">
        <w:rPr>
          <w:rFonts w:ascii="新宋体" w:eastAsia="新宋体" w:hAnsi="新宋体" w:cs="宋体"/>
          <w:color w:val="555555"/>
          <w:kern w:val="0"/>
          <w:sz w:val="32"/>
          <w:szCs w:val="32"/>
          <w:bdr w:val="none" w:sz="0" w:space="0" w:color="auto" w:frame="1"/>
        </w:rPr>
        <w:t>〕</w:t>
      </w:r>
      <w:r w:rsidRPr="003B30E5">
        <w:rPr>
          <w:rFonts w:ascii="新宋体" w:eastAsia="新宋体" w:hAnsi="新宋体" w:cs="宋体"/>
          <w:color w:val="3D3D3D"/>
          <w:kern w:val="0"/>
          <w:sz w:val="32"/>
          <w:szCs w:val="32"/>
          <w:bdr w:val="none" w:sz="0" w:space="0" w:color="auto" w:frame="1"/>
        </w:rPr>
        <w:t>1号文件精神，</w:t>
      </w:r>
      <w:r w:rsidRPr="003B30E5">
        <w:rPr>
          <w:rFonts w:ascii="新宋体" w:eastAsia="新宋体" w:hAnsi="新宋体" w:cs="宋体"/>
          <w:color w:val="555555"/>
          <w:kern w:val="0"/>
          <w:sz w:val="32"/>
          <w:szCs w:val="32"/>
          <w:bdr w:val="none" w:sz="0" w:space="0" w:color="auto" w:frame="1"/>
        </w:rPr>
        <w:t>结合泰山区实际，制定以下实施意见。</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一、指导思想</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按照“有扶有控、扶优培强”的要求，大力实施工业“三强带动”发展战略，把企业</w:t>
      </w:r>
      <w:proofErr w:type="gramStart"/>
      <w:r w:rsidRPr="003B30E5">
        <w:rPr>
          <w:rFonts w:ascii="新宋体" w:eastAsia="新宋体" w:hAnsi="新宋体" w:cs="宋体"/>
          <w:color w:val="555555"/>
          <w:kern w:val="0"/>
          <w:sz w:val="32"/>
          <w:szCs w:val="32"/>
          <w:bdr w:val="none" w:sz="0" w:space="0" w:color="auto" w:frame="1"/>
        </w:rPr>
        <w:t>培强做</w:t>
      </w:r>
      <w:proofErr w:type="gramEnd"/>
      <w:r w:rsidRPr="003B30E5">
        <w:rPr>
          <w:rFonts w:ascii="新宋体" w:eastAsia="新宋体" w:hAnsi="新宋体" w:cs="宋体"/>
          <w:color w:val="555555"/>
          <w:kern w:val="0"/>
          <w:sz w:val="32"/>
          <w:szCs w:val="32"/>
          <w:bdr w:val="none" w:sz="0" w:space="0" w:color="auto" w:frame="1"/>
        </w:rPr>
        <w:t>大和工业创新发展、转型升级有机结合，努力培植区域拉动力强、行业竞争力强、财税贡献能力强的“三强”企业，引导生产要素向“三强”企业聚集、优惠政策向“三强”企业倾斜、人才资源向“三强”企业汇聚，促进重点骨干企业主动走转型升级之路，培育一批核心竞争力强、品牌效应显著、科技水平较高、经济效益增长较快的企业（集团）。加快形成大企业拉动、骨干企业支撑、众多成长型中小科技企业多点撬动的梯次发展格局，打造泰山区工业经济发展升级版。</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二、认定标准</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（一）区域拉动力强标准</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lastRenderedPageBreak/>
        <w:t>1.企业规模大。主营业务收入不低于5亿元（个别成长性强的企业例外），</w:t>
      </w:r>
      <w:proofErr w:type="gramStart"/>
      <w:r w:rsidRPr="003B30E5">
        <w:rPr>
          <w:rFonts w:ascii="新宋体" w:eastAsia="新宋体" w:hAnsi="新宋体" w:cs="宋体"/>
          <w:color w:val="555555"/>
          <w:kern w:val="0"/>
          <w:sz w:val="32"/>
          <w:szCs w:val="32"/>
          <w:bdr w:val="none" w:sz="0" w:space="0" w:color="auto" w:frame="1"/>
        </w:rPr>
        <w:t>且区域</w:t>
      </w:r>
      <w:proofErr w:type="gramEnd"/>
      <w:r w:rsidRPr="003B30E5">
        <w:rPr>
          <w:rFonts w:ascii="新宋体" w:eastAsia="新宋体" w:hAnsi="新宋体" w:cs="宋体"/>
          <w:color w:val="555555"/>
          <w:kern w:val="0"/>
          <w:sz w:val="32"/>
          <w:szCs w:val="32"/>
          <w:bdr w:val="none" w:sz="0" w:space="0" w:color="auto" w:frame="1"/>
        </w:rPr>
        <w:t>经济总量占比达到3%以上。</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2.产品关联度高。有一批中小企业为之配套，对产业集群的培植有龙头带动作用，或企业自身链条长，生成裂变能力强，能拉动区域经济快速发展。</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3.提供就业岗位多，就业带动能力强。</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4.储备项目足。投入力度大，发展后劲、潜力和发展空间比较大。</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（二）行业竞争力强标准</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1.企业规模、产品质量、市场占有率、经济效益位居全国全省全市前列，或为区域性行业骨干。</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2.产品科技含量高，产品附加值高，配套能力强，成长性强，企业产品品牌知名度比较高，具有</w:t>
      </w:r>
      <w:hyperlink r:id="rId4" w:tgtFrame="_blank" w:history="1">
        <w:r w:rsidRPr="003B30E5">
          <w:rPr>
            <w:rFonts w:ascii="仿宋_GB2312" w:eastAsia="新宋体" w:hAnsi="新宋体" w:cs="宋体"/>
            <w:color w:val="000000"/>
            <w:kern w:val="0"/>
            <w:sz w:val="32"/>
            <w:szCs w:val="32"/>
            <w:bdr w:val="none" w:sz="0" w:space="0" w:color="auto" w:frame="1"/>
          </w:rPr>
          <w:t>核心竞争力</w:t>
        </w:r>
      </w:hyperlink>
      <w:r w:rsidRPr="003B30E5">
        <w:rPr>
          <w:rFonts w:ascii="新宋体" w:eastAsia="新宋体" w:hAnsi="新宋体" w:cs="宋体"/>
          <w:color w:val="555555"/>
          <w:kern w:val="0"/>
          <w:sz w:val="32"/>
          <w:szCs w:val="32"/>
          <w:bdr w:val="none" w:sz="0" w:space="0" w:color="auto" w:frame="1"/>
        </w:rPr>
        <w:t>。</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3.企业具有较强技术创新能力和研发实力，科研人员占职工总数的比例达到12%以上，企业技术开发经费占销售收入比例达到3%以上。</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4.企业能够成为细分市场单项冠军或“专、精、特、新”龙头企业，在省内具有行业或区域影响力。</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（三）财税贡献能力强标准</w:t>
      </w:r>
    </w:p>
    <w:p w:rsidR="003B30E5" w:rsidRPr="003B30E5" w:rsidRDefault="003B30E5" w:rsidP="003B30E5">
      <w:pPr>
        <w:widowControl/>
        <w:shd w:val="clear" w:color="auto" w:fill="F4F4F4"/>
        <w:spacing w:line="540" w:lineRule="atLeast"/>
        <w:ind w:firstLine="624"/>
        <w:jc w:val="left"/>
        <w:rPr>
          <w:rFonts w:ascii="宋体" w:eastAsia="宋体" w:hAnsi="宋体" w:cs="宋体"/>
          <w:color w:val="333333"/>
          <w:kern w:val="0"/>
          <w:sz w:val="24"/>
          <w:szCs w:val="24"/>
        </w:rPr>
      </w:pPr>
      <w:r w:rsidRPr="003B30E5">
        <w:rPr>
          <w:rFonts w:ascii="新宋体" w:eastAsia="新宋体" w:hAnsi="新宋体" w:cs="宋体"/>
          <w:color w:val="555555"/>
          <w:spacing w:val="-4"/>
          <w:kern w:val="0"/>
          <w:sz w:val="32"/>
          <w:szCs w:val="32"/>
          <w:bdr w:val="none" w:sz="0" w:space="0" w:color="auto" w:frame="1"/>
        </w:rPr>
        <w:t>1.产品附加值高，人均纳税能力较强。</w:t>
      </w:r>
    </w:p>
    <w:p w:rsidR="003B30E5" w:rsidRPr="003B30E5" w:rsidRDefault="003B30E5" w:rsidP="003B30E5">
      <w:pPr>
        <w:widowControl/>
        <w:shd w:val="clear" w:color="auto" w:fill="F4F4F4"/>
        <w:spacing w:line="540" w:lineRule="atLeast"/>
        <w:ind w:firstLine="624"/>
        <w:jc w:val="left"/>
        <w:rPr>
          <w:rFonts w:ascii="宋体" w:eastAsia="宋体" w:hAnsi="宋体" w:cs="宋体"/>
          <w:color w:val="333333"/>
          <w:kern w:val="0"/>
          <w:sz w:val="24"/>
          <w:szCs w:val="24"/>
        </w:rPr>
      </w:pPr>
      <w:r w:rsidRPr="003B30E5">
        <w:rPr>
          <w:rFonts w:ascii="新宋体" w:eastAsia="新宋体" w:hAnsi="新宋体" w:cs="宋体"/>
          <w:color w:val="555555"/>
          <w:spacing w:val="-4"/>
          <w:kern w:val="0"/>
          <w:sz w:val="32"/>
          <w:szCs w:val="32"/>
          <w:bdr w:val="none" w:sz="0" w:space="0" w:color="auto" w:frame="1"/>
        </w:rPr>
        <w:t>2.企业纳税额度大，实交税金居全区工业企业前30位，或占本区域税收总量的3%以上。</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3.具有可持续、快速发展能力，近三年税收连续增长，增幅保持在10%以上。</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lastRenderedPageBreak/>
        <w:t>三、目标任务</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（一）以泰开集团、</w:t>
      </w:r>
      <w:proofErr w:type="gramStart"/>
      <w:r w:rsidRPr="003B30E5">
        <w:rPr>
          <w:rFonts w:ascii="新宋体" w:eastAsia="新宋体" w:hAnsi="新宋体" w:cs="宋体"/>
          <w:color w:val="555555"/>
          <w:kern w:val="0"/>
          <w:sz w:val="32"/>
          <w:szCs w:val="32"/>
          <w:bdr w:val="none" w:sz="0" w:space="0" w:color="auto" w:frame="1"/>
        </w:rPr>
        <w:t>岱银集团</w:t>
      </w:r>
      <w:proofErr w:type="gramEnd"/>
      <w:r w:rsidRPr="003B30E5">
        <w:rPr>
          <w:rFonts w:ascii="新宋体" w:eastAsia="新宋体" w:hAnsi="新宋体" w:cs="宋体"/>
          <w:color w:val="555555"/>
          <w:kern w:val="0"/>
          <w:sz w:val="32"/>
          <w:szCs w:val="32"/>
          <w:bdr w:val="none" w:sz="0" w:space="0" w:color="auto" w:frame="1"/>
        </w:rPr>
        <w:t>等大企业为标杆，加快培植“区域拉动力强”企业。</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（二）按照适应市场能力强，在全国领先或为区域性行业龙头骨干和有较强行业影响力的标准，加快培植“行业竞争力强”企业。</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（三）把企业对财政的贡献力作为财源建设的关键，加快培植“财税贡献力强”企业。</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争取到2020年，泰山经济开发区有</w:t>
      </w:r>
      <w:r w:rsidRPr="003B30E5">
        <w:rPr>
          <w:rFonts w:ascii="新宋体" w:eastAsia="新宋体" w:hAnsi="新宋体" w:cs="宋体"/>
          <w:color w:val="555555"/>
          <w:kern w:val="0"/>
          <w:szCs w:val="21"/>
          <w:bdr w:val="none" w:sz="0" w:space="0" w:color="auto" w:frame="1"/>
        </w:rPr>
        <w:t>3</w:t>
      </w:r>
      <w:r w:rsidRPr="003B30E5">
        <w:rPr>
          <w:rFonts w:ascii="新宋体" w:eastAsia="新宋体" w:hAnsi="新宋体" w:cs="宋体"/>
          <w:color w:val="555555"/>
          <w:kern w:val="0"/>
          <w:sz w:val="32"/>
          <w:szCs w:val="32"/>
          <w:bdr w:val="none" w:sz="0" w:space="0" w:color="auto" w:frame="1"/>
        </w:rPr>
        <w:t>家以上税收过亿元，区域拉动力强的大企业（集团）；上高街道和省庄镇、邱家店镇两个工业聚集区都有</w:t>
      </w:r>
      <w:r w:rsidRPr="003B30E5">
        <w:rPr>
          <w:rFonts w:ascii="新宋体" w:eastAsia="新宋体" w:hAnsi="新宋体" w:cs="宋体"/>
          <w:color w:val="555555"/>
          <w:kern w:val="0"/>
          <w:szCs w:val="21"/>
          <w:bdr w:val="none" w:sz="0" w:space="0" w:color="auto" w:frame="1"/>
        </w:rPr>
        <w:t>3-5</w:t>
      </w:r>
      <w:r w:rsidRPr="003B30E5">
        <w:rPr>
          <w:rFonts w:ascii="新宋体" w:eastAsia="新宋体" w:hAnsi="新宋体" w:cs="宋体"/>
          <w:color w:val="555555"/>
          <w:kern w:val="0"/>
          <w:sz w:val="32"/>
          <w:szCs w:val="32"/>
          <w:bdr w:val="none" w:sz="0" w:space="0" w:color="auto" w:frame="1"/>
        </w:rPr>
        <w:t>家纳税过</w:t>
      </w:r>
      <w:r w:rsidRPr="003B30E5">
        <w:rPr>
          <w:rFonts w:ascii="新宋体" w:eastAsia="新宋体" w:hAnsi="新宋体" w:cs="宋体"/>
          <w:color w:val="555555"/>
          <w:kern w:val="0"/>
          <w:szCs w:val="21"/>
          <w:bdr w:val="none" w:sz="0" w:space="0" w:color="auto" w:frame="1"/>
        </w:rPr>
        <w:t>5000</w:t>
      </w:r>
      <w:r w:rsidRPr="003B30E5">
        <w:rPr>
          <w:rFonts w:ascii="新宋体" w:eastAsia="新宋体" w:hAnsi="新宋体" w:cs="宋体"/>
          <w:color w:val="555555"/>
          <w:kern w:val="0"/>
          <w:sz w:val="32"/>
          <w:szCs w:val="32"/>
          <w:bdr w:val="none" w:sz="0" w:space="0" w:color="auto" w:frame="1"/>
        </w:rPr>
        <w:t>万元，行业竞争力强的龙头骨干企业；徐家楼街道、岱庙街道都有</w:t>
      </w:r>
      <w:r w:rsidRPr="003B30E5">
        <w:rPr>
          <w:rFonts w:ascii="新宋体" w:eastAsia="新宋体" w:hAnsi="新宋体" w:cs="宋体"/>
          <w:color w:val="555555"/>
          <w:kern w:val="0"/>
          <w:szCs w:val="21"/>
          <w:bdr w:val="none" w:sz="0" w:space="0" w:color="auto" w:frame="1"/>
        </w:rPr>
        <w:t>2-3</w:t>
      </w:r>
      <w:r w:rsidRPr="003B30E5">
        <w:rPr>
          <w:rFonts w:ascii="新宋体" w:eastAsia="新宋体" w:hAnsi="新宋体" w:cs="宋体"/>
          <w:color w:val="555555"/>
          <w:kern w:val="0"/>
          <w:sz w:val="32"/>
          <w:szCs w:val="32"/>
          <w:bdr w:val="none" w:sz="0" w:space="0" w:color="auto" w:frame="1"/>
        </w:rPr>
        <w:t>家纳税过</w:t>
      </w:r>
      <w:r w:rsidRPr="003B30E5">
        <w:rPr>
          <w:rFonts w:ascii="新宋体" w:eastAsia="新宋体" w:hAnsi="新宋体" w:cs="宋体"/>
          <w:color w:val="555555"/>
          <w:kern w:val="0"/>
          <w:szCs w:val="21"/>
          <w:bdr w:val="none" w:sz="0" w:space="0" w:color="auto" w:frame="1"/>
        </w:rPr>
        <w:t>3000</w:t>
      </w:r>
      <w:r w:rsidRPr="003B30E5">
        <w:rPr>
          <w:rFonts w:ascii="新宋体" w:eastAsia="新宋体" w:hAnsi="新宋体" w:cs="宋体"/>
          <w:color w:val="555555"/>
          <w:kern w:val="0"/>
          <w:sz w:val="32"/>
          <w:szCs w:val="32"/>
          <w:bdr w:val="none" w:sz="0" w:space="0" w:color="auto" w:frame="1"/>
        </w:rPr>
        <w:t>万元，财税贡献力强的科技型重点骨干企业；泰前街道、财源街道都有</w:t>
      </w:r>
      <w:r w:rsidRPr="003B30E5">
        <w:rPr>
          <w:rFonts w:ascii="新宋体" w:eastAsia="新宋体" w:hAnsi="新宋体" w:cs="宋体"/>
          <w:color w:val="555555"/>
          <w:kern w:val="0"/>
          <w:szCs w:val="21"/>
          <w:bdr w:val="none" w:sz="0" w:space="0" w:color="auto" w:frame="1"/>
        </w:rPr>
        <w:t>5-10</w:t>
      </w:r>
      <w:r w:rsidRPr="003B30E5">
        <w:rPr>
          <w:rFonts w:ascii="新宋体" w:eastAsia="新宋体" w:hAnsi="新宋体" w:cs="宋体"/>
          <w:color w:val="555555"/>
          <w:kern w:val="0"/>
          <w:sz w:val="32"/>
          <w:szCs w:val="32"/>
          <w:bdr w:val="none" w:sz="0" w:space="0" w:color="auto" w:frame="1"/>
        </w:rPr>
        <w:t>家成长性好纳税</w:t>
      </w:r>
      <w:r w:rsidRPr="003B30E5">
        <w:rPr>
          <w:rFonts w:ascii="新宋体" w:eastAsia="新宋体" w:hAnsi="新宋体" w:cs="宋体"/>
          <w:color w:val="555555"/>
          <w:kern w:val="0"/>
          <w:szCs w:val="21"/>
          <w:bdr w:val="none" w:sz="0" w:space="0" w:color="auto" w:frame="1"/>
        </w:rPr>
        <w:t>1000</w:t>
      </w:r>
      <w:r w:rsidRPr="003B30E5">
        <w:rPr>
          <w:rFonts w:ascii="新宋体" w:eastAsia="新宋体" w:hAnsi="新宋体" w:cs="宋体"/>
          <w:color w:val="555555"/>
          <w:kern w:val="0"/>
          <w:sz w:val="32"/>
          <w:szCs w:val="32"/>
          <w:bdr w:val="none" w:sz="0" w:space="0" w:color="auto" w:frame="1"/>
        </w:rPr>
        <w:t>万元以上，发展后劲足的战略性新兴中小企业，形成一批工业税收“小巨人”，加快泰山区经济持续发展。</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四、扶持政策</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（一）加大财政扶持</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1、积极争取上级资金支持。</w:t>
      </w:r>
      <w:r w:rsidRPr="003B30E5">
        <w:rPr>
          <w:rFonts w:ascii="新宋体" w:eastAsia="新宋体" w:hAnsi="新宋体" w:cs="宋体"/>
          <w:color w:val="555555"/>
          <w:kern w:val="0"/>
          <w:sz w:val="32"/>
          <w:szCs w:val="32"/>
          <w:bdr w:val="none" w:sz="0" w:space="0" w:color="auto" w:frame="1"/>
        </w:rPr>
        <w:t>根据有关产业政策，优先从“三强”企业中筛选重点培植项目，争取列入国家、省、市计划和专项资金支持名单。（牵头单位：区</w:t>
      </w:r>
      <w:proofErr w:type="gramStart"/>
      <w:r w:rsidRPr="003B30E5">
        <w:rPr>
          <w:rFonts w:ascii="新宋体" w:eastAsia="新宋体" w:hAnsi="新宋体" w:cs="宋体"/>
          <w:color w:val="555555"/>
          <w:kern w:val="0"/>
          <w:sz w:val="32"/>
          <w:szCs w:val="32"/>
          <w:bdr w:val="none" w:sz="0" w:space="0" w:color="auto" w:frame="1"/>
        </w:rPr>
        <w:t>发改局</w:t>
      </w:r>
      <w:proofErr w:type="gramEnd"/>
      <w:r w:rsidRPr="003B30E5">
        <w:rPr>
          <w:rFonts w:ascii="新宋体" w:eastAsia="新宋体" w:hAnsi="新宋体" w:cs="宋体"/>
          <w:color w:val="555555"/>
          <w:kern w:val="0"/>
          <w:sz w:val="32"/>
          <w:szCs w:val="32"/>
          <w:bdr w:val="none" w:sz="0" w:space="0" w:color="auto" w:frame="1"/>
        </w:rPr>
        <w:t>；责任单位：区经信局、区科技局、区财政局）</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2、发挥工业发展引导资金作用。</w:t>
      </w:r>
      <w:r w:rsidRPr="003B30E5">
        <w:rPr>
          <w:rFonts w:ascii="新宋体" w:eastAsia="新宋体" w:hAnsi="新宋体" w:cs="宋体"/>
          <w:color w:val="555555"/>
          <w:kern w:val="0"/>
          <w:sz w:val="32"/>
          <w:szCs w:val="32"/>
          <w:bdr w:val="none" w:sz="0" w:space="0" w:color="auto" w:frame="1"/>
        </w:rPr>
        <w:t>根据国家和省市相关法律法规以及《泰山区人民政府关于产业发展引导资金的实施意</w:t>
      </w:r>
      <w:r w:rsidRPr="003B30E5">
        <w:rPr>
          <w:rFonts w:ascii="新宋体" w:eastAsia="新宋体" w:hAnsi="新宋体" w:cs="宋体"/>
          <w:color w:val="555555"/>
          <w:kern w:val="0"/>
          <w:sz w:val="32"/>
          <w:szCs w:val="32"/>
          <w:bdr w:val="none" w:sz="0" w:space="0" w:color="auto" w:frame="1"/>
        </w:rPr>
        <w:lastRenderedPageBreak/>
        <w:t>见》（泰山政发〔</w:t>
      </w:r>
      <w:r w:rsidRPr="003B30E5">
        <w:rPr>
          <w:rFonts w:ascii="新宋体" w:eastAsia="新宋体" w:hAnsi="新宋体" w:cs="宋体"/>
          <w:color w:val="555555"/>
          <w:kern w:val="0"/>
          <w:szCs w:val="21"/>
          <w:bdr w:val="none" w:sz="0" w:space="0" w:color="auto" w:frame="1"/>
        </w:rPr>
        <w:t>2015</w:t>
      </w:r>
      <w:r w:rsidRPr="003B30E5">
        <w:rPr>
          <w:rFonts w:ascii="新宋体" w:eastAsia="新宋体" w:hAnsi="新宋体" w:cs="宋体"/>
          <w:color w:val="555555"/>
          <w:kern w:val="0"/>
          <w:sz w:val="32"/>
          <w:szCs w:val="32"/>
          <w:bdr w:val="none" w:sz="0" w:space="0" w:color="auto" w:frame="1"/>
        </w:rPr>
        <w:t>〕20号），我区设立泰山区工业发展引导资金，该项资金由区财政预算安排，重点用于新兴产业成果转化、企业技改、信息产业等方面。（牵头单位：区财政局、区经信局；责任单位：各街道镇、泰山经济开发区）</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3、建立专项扶持资金。</w:t>
      </w:r>
      <w:r w:rsidRPr="003B30E5">
        <w:rPr>
          <w:rFonts w:ascii="新宋体" w:eastAsia="新宋体" w:hAnsi="新宋体" w:cs="宋体"/>
          <w:color w:val="555555"/>
          <w:kern w:val="0"/>
          <w:sz w:val="32"/>
          <w:szCs w:val="32"/>
          <w:bdr w:val="none" w:sz="0" w:space="0" w:color="auto" w:frame="1"/>
        </w:rPr>
        <w:t>区财政要加大对“三强”企业的扶持力度，设立“三强”企业专项扶持资金，重点支持“三强”企业转型升级、扩</w:t>
      </w:r>
      <w:proofErr w:type="gramStart"/>
      <w:r w:rsidRPr="003B30E5">
        <w:rPr>
          <w:rFonts w:ascii="新宋体" w:eastAsia="新宋体" w:hAnsi="新宋体" w:cs="宋体"/>
          <w:color w:val="555555"/>
          <w:kern w:val="0"/>
          <w:sz w:val="32"/>
          <w:szCs w:val="32"/>
          <w:bdr w:val="none" w:sz="0" w:space="0" w:color="auto" w:frame="1"/>
        </w:rPr>
        <w:t>规</w:t>
      </w:r>
      <w:proofErr w:type="gramEnd"/>
      <w:r w:rsidRPr="003B30E5">
        <w:rPr>
          <w:rFonts w:ascii="新宋体" w:eastAsia="新宋体" w:hAnsi="新宋体" w:cs="宋体"/>
          <w:color w:val="555555"/>
          <w:kern w:val="0"/>
          <w:sz w:val="32"/>
          <w:szCs w:val="32"/>
          <w:bdr w:val="none" w:sz="0" w:space="0" w:color="auto" w:frame="1"/>
        </w:rPr>
        <w:t>上档、市场开拓、战略重组、产业配套、资本结构优化等。各街道镇、泰山经济开发区财政也要整合支持企业发展的各项资金，加大对“三强”企业的扶持力度。（牵头单位：区财政局；责任单位：区经信局，各街道镇、泰山经济开发区）</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（二）提供融资保障</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1、鼓励上市融资。</w:t>
      </w:r>
      <w:r w:rsidRPr="003B30E5">
        <w:rPr>
          <w:rFonts w:ascii="新宋体" w:eastAsia="新宋体" w:hAnsi="新宋体" w:cs="宋体"/>
          <w:color w:val="555555"/>
          <w:kern w:val="0"/>
          <w:sz w:val="32"/>
          <w:szCs w:val="32"/>
          <w:bdr w:val="none" w:sz="0" w:space="0" w:color="auto" w:frame="1"/>
        </w:rPr>
        <w:t>全面落实《泰山区人民政府关于进一步加快推进企业改制上市的意见》（泰山政发〔</w:t>
      </w:r>
      <w:r w:rsidRPr="003B30E5">
        <w:rPr>
          <w:rFonts w:ascii="新宋体" w:eastAsia="新宋体" w:hAnsi="新宋体" w:cs="宋体"/>
          <w:color w:val="555555"/>
          <w:kern w:val="0"/>
          <w:szCs w:val="21"/>
          <w:bdr w:val="none" w:sz="0" w:space="0" w:color="auto" w:frame="1"/>
        </w:rPr>
        <w:t>2016</w:t>
      </w:r>
      <w:r w:rsidRPr="003B30E5">
        <w:rPr>
          <w:rFonts w:ascii="新宋体" w:eastAsia="新宋体" w:hAnsi="新宋体" w:cs="宋体"/>
          <w:color w:val="555555"/>
          <w:kern w:val="0"/>
          <w:sz w:val="32"/>
          <w:szCs w:val="32"/>
          <w:bdr w:val="none" w:sz="0" w:space="0" w:color="auto" w:frame="1"/>
        </w:rPr>
        <w:t>〕13号），对上市、挂牌“三强”企业进行扶持。在沪深证券交易所首发上市的“三强”企业（包括借壳、买壳、吸收合并等形式上市且注册地迁至我区的企业），区政府给予一次性奖励</w:t>
      </w:r>
      <w:r w:rsidRPr="003B30E5">
        <w:rPr>
          <w:rFonts w:ascii="新宋体" w:eastAsia="新宋体" w:hAnsi="新宋体" w:cs="宋体"/>
          <w:color w:val="555555"/>
          <w:kern w:val="0"/>
          <w:szCs w:val="21"/>
          <w:bdr w:val="none" w:sz="0" w:space="0" w:color="auto" w:frame="1"/>
        </w:rPr>
        <w:t>200</w:t>
      </w:r>
      <w:r w:rsidRPr="003B30E5">
        <w:rPr>
          <w:rFonts w:ascii="新宋体" w:eastAsia="新宋体" w:hAnsi="新宋体" w:cs="宋体"/>
          <w:color w:val="555555"/>
          <w:kern w:val="0"/>
          <w:sz w:val="32"/>
          <w:szCs w:val="32"/>
          <w:bdr w:val="none" w:sz="0" w:space="0" w:color="auto" w:frame="1"/>
        </w:rPr>
        <w:t>万元；在境外证券交易所首发上市的“三强”企业，区政府给予一次性奖励</w:t>
      </w:r>
      <w:r w:rsidRPr="003B30E5">
        <w:rPr>
          <w:rFonts w:ascii="新宋体" w:eastAsia="新宋体" w:hAnsi="新宋体" w:cs="宋体"/>
          <w:color w:val="555555"/>
          <w:kern w:val="0"/>
          <w:szCs w:val="21"/>
          <w:bdr w:val="none" w:sz="0" w:space="0" w:color="auto" w:frame="1"/>
        </w:rPr>
        <w:t>200</w:t>
      </w:r>
      <w:r w:rsidRPr="003B30E5">
        <w:rPr>
          <w:rFonts w:ascii="新宋体" w:eastAsia="新宋体" w:hAnsi="新宋体" w:cs="宋体"/>
          <w:color w:val="555555"/>
          <w:kern w:val="0"/>
          <w:sz w:val="32"/>
          <w:szCs w:val="32"/>
          <w:bdr w:val="none" w:sz="0" w:space="0" w:color="auto" w:frame="1"/>
        </w:rPr>
        <w:t>万元。“三强”企业在“新三板”挂牌后，给予一次性奖励</w:t>
      </w:r>
      <w:r w:rsidRPr="003B30E5">
        <w:rPr>
          <w:rFonts w:ascii="新宋体" w:eastAsia="新宋体" w:hAnsi="新宋体" w:cs="宋体"/>
          <w:color w:val="555555"/>
          <w:kern w:val="0"/>
          <w:szCs w:val="21"/>
          <w:bdr w:val="none" w:sz="0" w:space="0" w:color="auto" w:frame="1"/>
        </w:rPr>
        <w:t>100</w:t>
      </w:r>
      <w:r w:rsidRPr="003B30E5">
        <w:rPr>
          <w:rFonts w:ascii="新宋体" w:eastAsia="新宋体" w:hAnsi="新宋体" w:cs="宋体"/>
          <w:color w:val="555555"/>
          <w:kern w:val="0"/>
          <w:sz w:val="32"/>
          <w:szCs w:val="32"/>
          <w:bdr w:val="none" w:sz="0" w:space="0" w:color="auto" w:frame="1"/>
        </w:rPr>
        <w:t>万元。企业改制为股份公司并在齐鲁股权交易中心、青岛蓝海股权交易中心挂牌，区政府给予一次性奖励</w:t>
      </w:r>
      <w:r w:rsidRPr="003B30E5">
        <w:rPr>
          <w:rFonts w:ascii="新宋体" w:eastAsia="新宋体" w:hAnsi="新宋体" w:cs="宋体"/>
          <w:color w:val="555555"/>
          <w:kern w:val="0"/>
          <w:szCs w:val="21"/>
          <w:bdr w:val="none" w:sz="0" w:space="0" w:color="auto" w:frame="1"/>
        </w:rPr>
        <w:t>30</w:t>
      </w:r>
      <w:r w:rsidRPr="003B30E5">
        <w:rPr>
          <w:rFonts w:ascii="新宋体" w:eastAsia="新宋体" w:hAnsi="新宋体" w:cs="宋体"/>
          <w:color w:val="555555"/>
          <w:kern w:val="0"/>
          <w:sz w:val="32"/>
          <w:szCs w:val="32"/>
          <w:bdr w:val="none" w:sz="0" w:space="0" w:color="auto" w:frame="1"/>
        </w:rPr>
        <w:t>万元。改制企业相关中介服务费用，区财政和受益财政各按</w:t>
      </w:r>
      <w:r w:rsidRPr="003B30E5">
        <w:rPr>
          <w:rFonts w:ascii="新宋体" w:eastAsia="新宋体" w:hAnsi="新宋体" w:cs="宋体"/>
          <w:color w:val="555555"/>
          <w:kern w:val="0"/>
          <w:szCs w:val="21"/>
          <w:bdr w:val="none" w:sz="0" w:space="0" w:color="auto" w:frame="1"/>
        </w:rPr>
        <w:t>25%</w:t>
      </w:r>
      <w:r w:rsidRPr="003B30E5">
        <w:rPr>
          <w:rFonts w:ascii="新宋体" w:eastAsia="新宋体" w:hAnsi="新宋体" w:cs="宋体"/>
          <w:color w:val="555555"/>
          <w:kern w:val="0"/>
          <w:sz w:val="32"/>
          <w:szCs w:val="32"/>
          <w:bdr w:val="none" w:sz="0" w:space="0" w:color="auto" w:frame="1"/>
        </w:rPr>
        <w:t>比例给予补助，单户企业最高补助</w:t>
      </w:r>
      <w:r w:rsidRPr="003B30E5">
        <w:rPr>
          <w:rFonts w:ascii="新宋体" w:eastAsia="新宋体" w:hAnsi="新宋体" w:cs="宋体"/>
          <w:color w:val="555555"/>
          <w:kern w:val="0"/>
          <w:szCs w:val="21"/>
          <w:bdr w:val="none" w:sz="0" w:space="0" w:color="auto" w:frame="1"/>
        </w:rPr>
        <w:t>20</w:t>
      </w:r>
      <w:r w:rsidRPr="003B30E5">
        <w:rPr>
          <w:rFonts w:ascii="新宋体" w:eastAsia="新宋体" w:hAnsi="新宋体" w:cs="宋体"/>
          <w:color w:val="555555"/>
          <w:kern w:val="0"/>
          <w:sz w:val="32"/>
          <w:szCs w:val="32"/>
          <w:bdr w:val="none" w:sz="0" w:space="0" w:color="auto" w:frame="1"/>
        </w:rPr>
        <w:t>万元，每家企业只补助一次。（牵头单位：区</w:t>
      </w:r>
      <w:proofErr w:type="gramStart"/>
      <w:r w:rsidRPr="003B30E5">
        <w:rPr>
          <w:rFonts w:ascii="新宋体" w:eastAsia="新宋体" w:hAnsi="新宋体" w:cs="宋体"/>
          <w:color w:val="555555"/>
          <w:kern w:val="0"/>
          <w:sz w:val="32"/>
          <w:szCs w:val="32"/>
          <w:bdr w:val="none" w:sz="0" w:space="0" w:color="auto" w:frame="1"/>
        </w:rPr>
        <w:t>发改局</w:t>
      </w:r>
      <w:proofErr w:type="gramEnd"/>
      <w:r w:rsidRPr="003B30E5">
        <w:rPr>
          <w:rFonts w:ascii="新宋体" w:eastAsia="新宋体" w:hAnsi="新宋体" w:cs="宋体"/>
          <w:color w:val="555555"/>
          <w:kern w:val="0"/>
          <w:sz w:val="32"/>
          <w:szCs w:val="32"/>
          <w:bdr w:val="none" w:sz="0" w:space="0" w:color="auto" w:frame="1"/>
        </w:rPr>
        <w:t>；责任单位：区经信</w:t>
      </w:r>
      <w:r w:rsidRPr="003B30E5">
        <w:rPr>
          <w:rFonts w:ascii="新宋体" w:eastAsia="新宋体" w:hAnsi="新宋体" w:cs="宋体"/>
          <w:color w:val="555555"/>
          <w:kern w:val="0"/>
          <w:sz w:val="32"/>
          <w:szCs w:val="32"/>
          <w:bdr w:val="none" w:sz="0" w:space="0" w:color="auto" w:frame="1"/>
        </w:rPr>
        <w:lastRenderedPageBreak/>
        <w:t>局、区科技局、区财政局、区国土局、市区国税局、区地税分局，各街道镇、泰山经济开发区）</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2、</w:t>
      </w:r>
      <w:proofErr w:type="gramStart"/>
      <w:r w:rsidRPr="003B30E5">
        <w:rPr>
          <w:rFonts w:ascii="新宋体" w:eastAsia="新宋体" w:hAnsi="新宋体" w:cs="宋体"/>
          <w:b/>
          <w:bCs/>
          <w:color w:val="555555"/>
          <w:kern w:val="0"/>
          <w:sz w:val="32"/>
          <w:szCs w:val="32"/>
          <w:bdr w:val="none" w:sz="0" w:space="0" w:color="auto" w:frame="1"/>
        </w:rPr>
        <w:t>深化政银企</w:t>
      </w:r>
      <w:proofErr w:type="gramEnd"/>
      <w:r w:rsidRPr="003B30E5">
        <w:rPr>
          <w:rFonts w:ascii="新宋体" w:eastAsia="新宋体" w:hAnsi="新宋体" w:cs="宋体"/>
          <w:b/>
          <w:bCs/>
          <w:color w:val="555555"/>
          <w:kern w:val="0"/>
          <w:sz w:val="32"/>
          <w:szCs w:val="32"/>
          <w:bdr w:val="none" w:sz="0" w:space="0" w:color="auto" w:frame="1"/>
        </w:rPr>
        <w:t>合作。</w:t>
      </w:r>
      <w:r w:rsidRPr="003B30E5">
        <w:rPr>
          <w:rFonts w:ascii="新宋体" w:eastAsia="新宋体" w:hAnsi="新宋体" w:cs="宋体"/>
          <w:color w:val="555555"/>
          <w:kern w:val="0"/>
          <w:sz w:val="32"/>
          <w:szCs w:val="32"/>
          <w:bdr w:val="none" w:sz="0" w:space="0" w:color="auto" w:frame="1"/>
        </w:rPr>
        <w:t>加大对企业融资支持力度，为“三强”企业提供融资增信支持，满足企业技改融资需求，有效化解企业债务风险。以“三强”企业为重点，每年筛选确定融资需求项目，及时发布给各金融机构；每年举办一次由金融机构参加的银企合作会，每季度定向走访对接，促进银企交流。（牵头单位 ：区</w:t>
      </w:r>
      <w:proofErr w:type="gramStart"/>
      <w:r w:rsidRPr="003B30E5">
        <w:rPr>
          <w:rFonts w:ascii="新宋体" w:eastAsia="新宋体" w:hAnsi="新宋体" w:cs="宋体"/>
          <w:color w:val="555555"/>
          <w:kern w:val="0"/>
          <w:sz w:val="32"/>
          <w:szCs w:val="32"/>
          <w:bdr w:val="none" w:sz="0" w:space="0" w:color="auto" w:frame="1"/>
        </w:rPr>
        <w:t>发改局</w:t>
      </w:r>
      <w:proofErr w:type="gramEnd"/>
      <w:r w:rsidRPr="003B30E5">
        <w:rPr>
          <w:rFonts w:ascii="新宋体" w:eastAsia="新宋体" w:hAnsi="新宋体" w:cs="宋体"/>
          <w:color w:val="555555"/>
          <w:kern w:val="0"/>
          <w:sz w:val="32"/>
          <w:szCs w:val="32"/>
          <w:bdr w:val="none" w:sz="0" w:space="0" w:color="auto" w:frame="1"/>
        </w:rPr>
        <w:t>；责任单位：区财政局、区经信局，各街道镇、泰山经济开发区）</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3、建立金融风险联合处置机制。</w:t>
      </w:r>
      <w:r w:rsidRPr="003B30E5">
        <w:rPr>
          <w:rFonts w:ascii="新宋体" w:eastAsia="新宋体" w:hAnsi="新宋体" w:cs="宋体"/>
          <w:color w:val="555555"/>
          <w:kern w:val="0"/>
          <w:sz w:val="32"/>
          <w:szCs w:val="32"/>
          <w:bdr w:val="none" w:sz="0" w:space="0" w:color="auto" w:frame="1"/>
        </w:rPr>
        <w:t>构建各街道镇牵头、各相关部门单位参与的区域金融风险处置机制，妥善处置“三强”企业债务风险，严厉打击非法集资和恶意逃废银行债务行为。建立金融风险监测和信息通报机制，加强对重点企业的依法监管，特别要加强“三强”企业担保圈、互保链等领域金融风险的防范和化解，及时提示相关企业风险，守住不发生系统性区域性金融风险的底线。（牵头单位：区</w:t>
      </w:r>
      <w:proofErr w:type="gramStart"/>
      <w:r w:rsidRPr="003B30E5">
        <w:rPr>
          <w:rFonts w:ascii="新宋体" w:eastAsia="新宋体" w:hAnsi="新宋体" w:cs="宋体"/>
          <w:color w:val="555555"/>
          <w:kern w:val="0"/>
          <w:sz w:val="32"/>
          <w:szCs w:val="32"/>
          <w:bdr w:val="none" w:sz="0" w:space="0" w:color="auto" w:frame="1"/>
        </w:rPr>
        <w:t>发改局</w:t>
      </w:r>
      <w:proofErr w:type="gramEnd"/>
      <w:r w:rsidRPr="003B30E5">
        <w:rPr>
          <w:rFonts w:ascii="新宋体" w:eastAsia="新宋体" w:hAnsi="新宋体" w:cs="宋体"/>
          <w:color w:val="555555"/>
          <w:kern w:val="0"/>
          <w:sz w:val="32"/>
          <w:szCs w:val="32"/>
          <w:bdr w:val="none" w:sz="0" w:space="0" w:color="auto" w:frame="1"/>
        </w:rPr>
        <w:t>；责任单位：各街道镇、泰山经济开发区）</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（三）支持企业创新</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1、加大企业技术创新。</w:t>
      </w:r>
      <w:r w:rsidRPr="003B30E5">
        <w:rPr>
          <w:rFonts w:ascii="新宋体" w:eastAsia="新宋体" w:hAnsi="新宋体" w:cs="宋体"/>
          <w:color w:val="555555"/>
          <w:kern w:val="0"/>
          <w:sz w:val="32"/>
          <w:szCs w:val="32"/>
          <w:bdr w:val="none" w:sz="0" w:space="0" w:color="auto" w:frame="1"/>
        </w:rPr>
        <w:t>鼓励“三强”企业加大研发投入，</w:t>
      </w:r>
      <w:proofErr w:type="gramStart"/>
      <w:r w:rsidRPr="003B30E5">
        <w:rPr>
          <w:rFonts w:ascii="新宋体" w:eastAsia="新宋体" w:hAnsi="新宋体" w:cs="宋体"/>
          <w:color w:val="555555"/>
          <w:kern w:val="0"/>
          <w:sz w:val="32"/>
          <w:szCs w:val="32"/>
          <w:bdr w:val="none" w:sz="0" w:space="0" w:color="auto" w:frame="1"/>
        </w:rPr>
        <w:t>研发占</w:t>
      </w:r>
      <w:proofErr w:type="gramEnd"/>
      <w:r w:rsidRPr="003B30E5">
        <w:rPr>
          <w:rFonts w:ascii="新宋体" w:eastAsia="新宋体" w:hAnsi="新宋体" w:cs="宋体"/>
          <w:color w:val="555555"/>
          <w:kern w:val="0"/>
          <w:sz w:val="32"/>
          <w:szCs w:val="32"/>
          <w:bdr w:val="none" w:sz="0" w:space="0" w:color="auto" w:frame="1"/>
        </w:rPr>
        <w:t>销售收入比例达到</w:t>
      </w:r>
      <w:r w:rsidRPr="003B30E5">
        <w:rPr>
          <w:rFonts w:ascii="新宋体" w:eastAsia="新宋体" w:hAnsi="新宋体" w:cs="宋体"/>
          <w:color w:val="555555"/>
          <w:kern w:val="0"/>
          <w:szCs w:val="21"/>
          <w:bdr w:val="none" w:sz="0" w:space="0" w:color="auto" w:frame="1"/>
        </w:rPr>
        <w:t>3%</w:t>
      </w:r>
      <w:r w:rsidRPr="003B30E5">
        <w:rPr>
          <w:rFonts w:ascii="新宋体" w:eastAsia="新宋体" w:hAnsi="新宋体" w:cs="宋体"/>
          <w:color w:val="555555"/>
          <w:kern w:val="0"/>
          <w:sz w:val="32"/>
          <w:szCs w:val="32"/>
          <w:bdr w:val="none" w:sz="0" w:space="0" w:color="auto" w:frame="1"/>
        </w:rPr>
        <w:t>以上的大型企业，研发投入占销售比例达到</w:t>
      </w:r>
      <w:r w:rsidRPr="003B30E5">
        <w:rPr>
          <w:rFonts w:ascii="新宋体" w:eastAsia="新宋体" w:hAnsi="新宋体" w:cs="宋体"/>
          <w:color w:val="555555"/>
          <w:kern w:val="0"/>
          <w:szCs w:val="21"/>
          <w:bdr w:val="none" w:sz="0" w:space="0" w:color="auto" w:frame="1"/>
        </w:rPr>
        <w:t>5%</w:t>
      </w:r>
      <w:r w:rsidRPr="003B30E5">
        <w:rPr>
          <w:rFonts w:ascii="新宋体" w:eastAsia="新宋体" w:hAnsi="新宋体" w:cs="宋体"/>
          <w:color w:val="555555"/>
          <w:kern w:val="0"/>
          <w:sz w:val="32"/>
          <w:szCs w:val="32"/>
          <w:bdr w:val="none" w:sz="0" w:space="0" w:color="auto" w:frame="1"/>
        </w:rPr>
        <w:t>以上的中型企业，区科技局从区级应用技术研究与开发资金中拿出一定的比例，采取项目后补助方式，支持企业创新发展。支持符合条件的“三强”企业积极申报高新技术企业、创新型企业</w:t>
      </w:r>
      <w:r w:rsidRPr="003B30E5">
        <w:rPr>
          <w:rFonts w:ascii="新宋体" w:eastAsia="新宋体" w:hAnsi="新宋体" w:cs="宋体"/>
          <w:color w:val="555555"/>
          <w:kern w:val="0"/>
          <w:szCs w:val="21"/>
          <w:bdr w:val="none" w:sz="0" w:space="0" w:color="auto" w:frame="1"/>
        </w:rPr>
        <w:t>,</w:t>
      </w:r>
      <w:r w:rsidRPr="003B30E5">
        <w:rPr>
          <w:rFonts w:ascii="新宋体" w:eastAsia="新宋体" w:hAnsi="新宋体" w:cs="宋体"/>
          <w:color w:val="555555"/>
          <w:kern w:val="0"/>
          <w:sz w:val="32"/>
          <w:szCs w:val="32"/>
          <w:bdr w:val="none" w:sz="0" w:space="0" w:color="auto" w:frame="1"/>
        </w:rPr>
        <w:t>对新认定为高新技术企业的“三强”企</w:t>
      </w:r>
      <w:r w:rsidRPr="003B30E5">
        <w:rPr>
          <w:rFonts w:ascii="新宋体" w:eastAsia="新宋体" w:hAnsi="新宋体" w:cs="宋体"/>
          <w:color w:val="555555"/>
          <w:kern w:val="0"/>
          <w:sz w:val="32"/>
          <w:szCs w:val="32"/>
          <w:bdr w:val="none" w:sz="0" w:space="0" w:color="auto" w:frame="1"/>
        </w:rPr>
        <w:lastRenderedPageBreak/>
        <w:t>业，给予</w:t>
      </w:r>
      <w:r w:rsidRPr="003B30E5">
        <w:rPr>
          <w:rFonts w:ascii="新宋体" w:eastAsia="新宋体" w:hAnsi="新宋体" w:cs="宋体"/>
          <w:color w:val="555555"/>
          <w:kern w:val="0"/>
          <w:szCs w:val="21"/>
          <w:bdr w:val="none" w:sz="0" w:space="0" w:color="auto" w:frame="1"/>
        </w:rPr>
        <w:t>10</w:t>
      </w:r>
      <w:r w:rsidRPr="003B30E5">
        <w:rPr>
          <w:rFonts w:ascii="新宋体" w:eastAsia="新宋体" w:hAnsi="新宋体" w:cs="宋体"/>
          <w:color w:val="555555"/>
          <w:kern w:val="0"/>
          <w:sz w:val="32"/>
          <w:szCs w:val="32"/>
          <w:bdr w:val="none" w:sz="0" w:space="0" w:color="auto" w:frame="1"/>
        </w:rPr>
        <w:t>万元支持，对年度进入全省发明专利申请量前</w:t>
      </w:r>
      <w:r w:rsidRPr="003B30E5">
        <w:rPr>
          <w:rFonts w:ascii="新宋体" w:eastAsia="新宋体" w:hAnsi="新宋体" w:cs="宋体"/>
          <w:color w:val="555555"/>
          <w:kern w:val="0"/>
          <w:szCs w:val="21"/>
          <w:bdr w:val="none" w:sz="0" w:space="0" w:color="auto" w:frame="1"/>
        </w:rPr>
        <w:t>50</w:t>
      </w:r>
      <w:r w:rsidRPr="003B30E5">
        <w:rPr>
          <w:rFonts w:ascii="新宋体" w:eastAsia="新宋体" w:hAnsi="新宋体" w:cs="宋体"/>
          <w:color w:val="555555"/>
          <w:kern w:val="0"/>
          <w:sz w:val="32"/>
          <w:szCs w:val="32"/>
          <w:bdr w:val="none" w:sz="0" w:space="0" w:color="auto" w:frame="1"/>
        </w:rPr>
        <w:t>名、累计有效发明专利授权量前</w:t>
      </w:r>
      <w:r w:rsidRPr="003B30E5">
        <w:rPr>
          <w:rFonts w:ascii="新宋体" w:eastAsia="新宋体" w:hAnsi="新宋体" w:cs="宋体"/>
          <w:color w:val="555555"/>
          <w:kern w:val="0"/>
          <w:szCs w:val="21"/>
          <w:bdr w:val="none" w:sz="0" w:space="0" w:color="auto" w:frame="1"/>
        </w:rPr>
        <w:t>100</w:t>
      </w:r>
      <w:r w:rsidRPr="003B30E5">
        <w:rPr>
          <w:rFonts w:ascii="新宋体" w:eastAsia="新宋体" w:hAnsi="新宋体" w:cs="宋体"/>
          <w:color w:val="555555"/>
          <w:kern w:val="0"/>
          <w:sz w:val="32"/>
          <w:szCs w:val="32"/>
          <w:bdr w:val="none" w:sz="0" w:space="0" w:color="auto" w:frame="1"/>
        </w:rPr>
        <w:t>名、当年度发明专利授权量前</w:t>
      </w:r>
      <w:r w:rsidRPr="003B30E5">
        <w:rPr>
          <w:rFonts w:ascii="新宋体" w:eastAsia="新宋体" w:hAnsi="新宋体" w:cs="宋体"/>
          <w:color w:val="555555"/>
          <w:kern w:val="0"/>
          <w:szCs w:val="21"/>
          <w:bdr w:val="none" w:sz="0" w:space="0" w:color="auto" w:frame="1"/>
        </w:rPr>
        <w:t>200</w:t>
      </w:r>
      <w:r w:rsidRPr="003B30E5">
        <w:rPr>
          <w:rFonts w:ascii="新宋体" w:eastAsia="新宋体" w:hAnsi="新宋体" w:cs="宋体"/>
          <w:color w:val="555555"/>
          <w:kern w:val="0"/>
          <w:sz w:val="32"/>
          <w:szCs w:val="32"/>
          <w:bdr w:val="none" w:sz="0" w:space="0" w:color="auto" w:frame="1"/>
        </w:rPr>
        <w:t>名的企业、专利合作条约（</w:t>
      </w:r>
      <w:r w:rsidRPr="003B30E5">
        <w:rPr>
          <w:rFonts w:ascii="新宋体" w:eastAsia="新宋体" w:hAnsi="新宋体" w:cs="宋体"/>
          <w:color w:val="555555"/>
          <w:kern w:val="0"/>
          <w:szCs w:val="21"/>
          <w:bdr w:val="none" w:sz="0" w:space="0" w:color="auto" w:frame="1"/>
        </w:rPr>
        <w:t>PCT</w:t>
      </w:r>
      <w:r w:rsidRPr="003B30E5">
        <w:rPr>
          <w:rFonts w:ascii="新宋体" w:eastAsia="新宋体" w:hAnsi="新宋体" w:cs="宋体"/>
          <w:color w:val="555555"/>
          <w:kern w:val="0"/>
          <w:sz w:val="32"/>
          <w:szCs w:val="32"/>
          <w:bdr w:val="none" w:sz="0" w:space="0" w:color="auto" w:frame="1"/>
        </w:rPr>
        <w:t>）专利申请量超过</w:t>
      </w:r>
      <w:r w:rsidRPr="003B30E5">
        <w:rPr>
          <w:rFonts w:ascii="新宋体" w:eastAsia="新宋体" w:hAnsi="新宋体" w:cs="宋体"/>
          <w:color w:val="555555"/>
          <w:kern w:val="0"/>
          <w:szCs w:val="21"/>
          <w:bdr w:val="none" w:sz="0" w:space="0" w:color="auto" w:frame="1"/>
        </w:rPr>
        <w:t>5</w:t>
      </w:r>
      <w:r w:rsidRPr="003B30E5">
        <w:rPr>
          <w:rFonts w:ascii="新宋体" w:eastAsia="新宋体" w:hAnsi="新宋体" w:cs="宋体"/>
          <w:color w:val="555555"/>
          <w:kern w:val="0"/>
          <w:sz w:val="32"/>
          <w:szCs w:val="32"/>
          <w:bdr w:val="none" w:sz="0" w:space="0" w:color="auto" w:frame="1"/>
        </w:rPr>
        <w:t>件的企业，区政府给予一定奖励。（牵头单位：区科技局；责任单位：区财政局、市区国税局、区地税分局、区经信局，各街道镇、泰山经济开发区）</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2、支持企业创新能力建设。</w:t>
      </w:r>
      <w:r w:rsidRPr="003B30E5">
        <w:rPr>
          <w:rFonts w:ascii="新宋体" w:eastAsia="新宋体" w:hAnsi="新宋体" w:cs="宋体"/>
          <w:color w:val="555555"/>
          <w:kern w:val="0"/>
          <w:sz w:val="32"/>
          <w:szCs w:val="32"/>
          <w:bdr w:val="none" w:sz="0" w:space="0" w:color="auto" w:frame="1"/>
        </w:rPr>
        <w:t>增强与科研院所的对接，对引进两院院士或国家“千人计划”专家来我区实施国际（国内）领先技术科技成果转化的，实现相关行业、产业竞争力水平明显提升的，根据转化效果和财税贡献能力，给予奖励。优先推荐“三强”企业创新人才申报国家科技部科技创新创业人才计划、省泰山产业领军人才计划、市新兴产业人才计划、市科技创新创业人才计划、</w:t>
      </w:r>
      <w:proofErr w:type="gramStart"/>
      <w:r w:rsidRPr="003B30E5">
        <w:rPr>
          <w:rFonts w:ascii="新宋体" w:eastAsia="新宋体" w:hAnsi="新宋体" w:cs="宋体"/>
          <w:color w:val="555555"/>
          <w:kern w:val="0"/>
          <w:sz w:val="32"/>
          <w:szCs w:val="32"/>
          <w:bdr w:val="none" w:sz="0" w:space="0" w:color="auto" w:frame="1"/>
        </w:rPr>
        <w:t>区产业</w:t>
      </w:r>
      <w:proofErr w:type="gramEnd"/>
      <w:r w:rsidRPr="003B30E5">
        <w:rPr>
          <w:rFonts w:ascii="新宋体" w:eastAsia="新宋体" w:hAnsi="新宋体" w:cs="宋体"/>
          <w:color w:val="555555"/>
          <w:kern w:val="0"/>
          <w:sz w:val="32"/>
          <w:szCs w:val="32"/>
          <w:bdr w:val="none" w:sz="0" w:space="0" w:color="auto" w:frame="1"/>
        </w:rPr>
        <w:t>领军人才计划，通过配套资金、资助启动资金、政府创投跟进、贷款贴息等方式予以支持；对高层次领军人才创新项目，积极申报争取省级引导基金的直投股权投资支持。承担市级科技计划项目的“三强”企业，可在项目经费总额度内，预算不超过</w:t>
      </w:r>
      <w:r w:rsidRPr="003B30E5">
        <w:rPr>
          <w:rFonts w:ascii="新宋体" w:eastAsia="新宋体" w:hAnsi="新宋体" w:cs="宋体"/>
          <w:color w:val="555555"/>
          <w:kern w:val="0"/>
          <w:szCs w:val="21"/>
          <w:bdr w:val="none" w:sz="0" w:space="0" w:color="auto" w:frame="1"/>
        </w:rPr>
        <w:t>20%</w:t>
      </w:r>
      <w:r w:rsidRPr="003B30E5">
        <w:rPr>
          <w:rFonts w:ascii="新宋体" w:eastAsia="新宋体" w:hAnsi="新宋体" w:cs="宋体"/>
          <w:color w:val="555555"/>
          <w:kern w:val="0"/>
          <w:sz w:val="32"/>
          <w:szCs w:val="32"/>
          <w:bdr w:val="none" w:sz="0" w:space="0" w:color="auto" w:frame="1"/>
        </w:rPr>
        <w:t>的经费比例，用于对项目实施做出突出贡献人员的奖励或人才和团队的后续培养。鼓励企业加大科技研发平台建设，对认定为省级以上企业技术中心（工业设计中心）、企业重点实验室、示范工程技术研究中心、产业技术创新战略联盟牵头单位、院士工作站，省级国际合作中心、国家国际合作基地等的企业，严格落实国家、省市科技创新奖励相关配套政策。对认定的市级研发平台，产业技术研究院、产业技术创新战略示范联盟、市科技企</w:t>
      </w:r>
      <w:r w:rsidRPr="003B30E5">
        <w:rPr>
          <w:rFonts w:ascii="新宋体" w:eastAsia="新宋体" w:hAnsi="新宋体" w:cs="宋体"/>
          <w:color w:val="555555"/>
          <w:kern w:val="0"/>
          <w:sz w:val="32"/>
          <w:szCs w:val="32"/>
          <w:bdr w:val="none" w:sz="0" w:space="0" w:color="auto" w:frame="1"/>
        </w:rPr>
        <w:lastRenderedPageBreak/>
        <w:t>业孵化器给予一次性奖励，增强企业技术创新积极性。（牵头单位：区经信局；责任单位：区</w:t>
      </w:r>
      <w:proofErr w:type="gramStart"/>
      <w:r w:rsidRPr="003B30E5">
        <w:rPr>
          <w:rFonts w:ascii="新宋体" w:eastAsia="新宋体" w:hAnsi="新宋体" w:cs="宋体"/>
          <w:color w:val="555555"/>
          <w:kern w:val="0"/>
          <w:sz w:val="32"/>
          <w:szCs w:val="32"/>
          <w:bdr w:val="none" w:sz="0" w:space="0" w:color="auto" w:frame="1"/>
        </w:rPr>
        <w:t>发改局</w:t>
      </w:r>
      <w:proofErr w:type="gramEnd"/>
      <w:r w:rsidRPr="003B30E5">
        <w:rPr>
          <w:rFonts w:ascii="新宋体" w:eastAsia="新宋体" w:hAnsi="新宋体" w:cs="宋体"/>
          <w:color w:val="555555"/>
          <w:kern w:val="0"/>
          <w:sz w:val="32"/>
          <w:szCs w:val="32"/>
          <w:bdr w:val="none" w:sz="0" w:space="0" w:color="auto" w:frame="1"/>
        </w:rPr>
        <w:t>、区人社局、区科技局、区财政局，各街道镇、泰山经济开发区）</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3、支持企业品牌建设。</w:t>
      </w:r>
      <w:r w:rsidRPr="003B30E5">
        <w:rPr>
          <w:rFonts w:ascii="新宋体" w:eastAsia="新宋体" w:hAnsi="新宋体" w:cs="宋体"/>
          <w:color w:val="555555"/>
          <w:kern w:val="0"/>
          <w:sz w:val="32"/>
          <w:szCs w:val="32"/>
          <w:bdr w:val="none" w:sz="0" w:space="0" w:color="auto" w:frame="1"/>
        </w:rPr>
        <w:t>对认定为驰名商标、著名商标的企业，给予一次性奖励；对获得中国专利金奖、中国质量奖、山东名牌、省长质量奖、市长质量奖的企业，给予一次性奖励；对获得国家级、省级名牌的，给予一次性奖励。鼓励企业参与标准制修订。对主持国际、国家、行业及省地方标准研制并发布实施的，分别给予一次性奖励；对主持国际、国家、行业及省地方标准修订的，</w:t>
      </w:r>
      <w:proofErr w:type="gramStart"/>
      <w:r w:rsidRPr="003B30E5">
        <w:rPr>
          <w:rFonts w:ascii="新宋体" w:eastAsia="新宋体" w:hAnsi="新宋体" w:cs="宋体"/>
          <w:color w:val="555555"/>
          <w:kern w:val="0"/>
          <w:sz w:val="32"/>
          <w:szCs w:val="32"/>
          <w:bdr w:val="none" w:sz="0" w:space="0" w:color="auto" w:frame="1"/>
        </w:rPr>
        <w:t>按主持</w:t>
      </w:r>
      <w:proofErr w:type="gramEnd"/>
      <w:r w:rsidRPr="003B30E5">
        <w:rPr>
          <w:rFonts w:ascii="新宋体" w:eastAsia="新宋体" w:hAnsi="新宋体" w:cs="宋体"/>
          <w:color w:val="555555"/>
          <w:kern w:val="0"/>
          <w:sz w:val="32"/>
          <w:szCs w:val="32"/>
          <w:bdr w:val="none" w:sz="0" w:space="0" w:color="auto" w:frame="1"/>
        </w:rPr>
        <w:t>同类标准研制奖励额度的一定比例给予一次性奖励；对参与国际、国家、行业及省地方标准修订的，</w:t>
      </w:r>
      <w:proofErr w:type="gramStart"/>
      <w:r w:rsidRPr="003B30E5">
        <w:rPr>
          <w:rFonts w:ascii="新宋体" w:eastAsia="新宋体" w:hAnsi="新宋体" w:cs="宋体"/>
          <w:color w:val="555555"/>
          <w:kern w:val="0"/>
          <w:sz w:val="32"/>
          <w:szCs w:val="32"/>
          <w:bdr w:val="none" w:sz="0" w:space="0" w:color="auto" w:frame="1"/>
        </w:rPr>
        <w:t>按主持</w:t>
      </w:r>
      <w:proofErr w:type="gramEnd"/>
      <w:r w:rsidRPr="003B30E5">
        <w:rPr>
          <w:rFonts w:ascii="新宋体" w:eastAsia="新宋体" w:hAnsi="新宋体" w:cs="宋体"/>
          <w:color w:val="555555"/>
          <w:kern w:val="0"/>
          <w:sz w:val="32"/>
          <w:szCs w:val="32"/>
          <w:bdr w:val="none" w:sz="0" w:space="0" w:color="auto" w:frame="1"/>
        </w:rPr>
        <w:t>同类标准修订奖励额度的一定比例给予一次性奖励。（牵头单位：区质监局；责任单位：区财政局、区工商局、区经信局，各街道镇、泰山经济开发区）</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4、发放先进设备购置补贴。</w:t>
      </w:r>
      <w:r w:rsidRPr="003B30E5">
        <w:rPr>
          <w:rFonts w:ascii="新宋体" w:eastAsia="新宋体" w:hAnsi="新宋体" w:cs="宋体"/>
          <w:color w:val="555555"/>
          <w:kern w:val="0"/>
          <w:sz w:val="32"/>
          <w:szCs w:val="32"/>
          <w:bdr w:val="none" w:sz="0" w:space="0" w:color="auto" w:frame="1"/>
        </w:rPr>
        <w:t>对引进人才建立实验室或新上项目购置先进设备、且符合相关规定的“三强”企业，给予</w:t>
      </w:r>
      <w:proofErr w:type="gramStart"/>
      <w:r w:rsidRPr="003B30E5">
        <w:rPr>
          <w:rFonts w:ascii="新宋体" w:eastAsia="新宋体" w:hAnsi="新宋体" w:cs="宋体"/>
          <w:color w:val="555555"/>
          <w:kern w:val="0"/>
          <w:sz w:val="32"/>
          <w:szCs w:val="32"/>
          <w:bdr w:val="none" w:sz="0" w:space="0" w:color="auto" w:frame="1"/>
        </w:rPr>
        <w:t>购置款</w:t>
      </w:r>
      <w:proofErr w:type="gramEnd"/>
      <w:r w:rsidRPr="003B30E5">
        <w:rPr>
          <w:rFonts w:ascii="新宋体" w:eastAsia="新宋体" w:hAnsi="新宋体" w:cs="宋体"/>
          <w:color w:val="555555"/>
          <w:kern w:val="0"/>
          <w:szCs w:val="21"/>
          <w:bdr w:val="none" w:sz="0" w:space="0" w:color="auto" w:frame="1"/>
        </w:rPr>
        <w:t>5%</w:t>
      </w:r>
      <w:r w:rsidRPr="003B30E5">
        <w:rPr>
          <w:rFonts w:ascii="新宋体" w:eastAsia="新宋体" w:hAnsi="新宋体" w:cs="宋体"/>
          <w:color w:val="555555"/>
          <w:kern w:val="0"/>
          <w:sz w:val="32"/>
          <w:szCs w:val="32"/>
          <w:bdr w:val="none" w:sz="0" w:space="0" w:color="auto" w:frame="1"/>
        </w:rPr>
        <w:t>的补助，最高</w:t>
      </w:r>
      <w:r w:rsidRPr="003B30E5">
        <w:rPr>
          <w:rFonts w:ascii="新宋体" w:eastAsia="新宋体" w:hAnsi="新宋体" w:cs="宋体"/>
          <w:color w:val="555555"/>
          <w:kern w:val="0"/>
          <w:szCs w:val="21"/>
          <w:bdr w:val="none" w:sz="0" w:space="0" w:color="auto" w:frame="1"/>
        </w:rPr>
        <w:t>50</w:t>
      </w:r>
      <w:r w:rsidRPr="003B30E5">
        <w:rPr>
          <w:rFonts w:ascii="新宋体" w:eastAsia="新宋体" w:hAnsi="新宋体" w:cs="宋体"/>
          <w:color w:val="555555"/>
          <w:kern w:val="0"/>
          <w:sz w:val="32"/>
          <w:szCs w:val="32"/>
          <w:bdr w:val="none" w:sz="0" w:space="0" w:color="auto" w:frame="1"/>
        </w:rPr>
        <w:t>万元。（牵头单位：区经信局；责任单位：区财政局、区人才办、区科技局）</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（四）集聚要素资源</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1、保证土地供应。</w:t>
      </w:r>
      <w:r w:rsidRPr="003B30E5">
        <w:rPr>
          <w:rFonts w:ascii="新宋体" w:eastAsia="新宋体" w:hAnsi="新宋体" w:cs="宋体"/>
          <w:color w:val="555555"/>
          <w:kern w:val="0"/>
          <w:sz w:val="32"/>
          <w:szCs w:val="32"/>
          <w:bdr w:val="none" w:sz="0" w:space="0" w:color="auto" w:frame="1"/>
        </w:rPr>
        <w:t>优先安排“三强”企业用地供应计划指标。对建设周期较长、用地面积较大的“三强”企业用地项目，实行整体规划、分期供地，保证项目及时开工建设。鼓励“三强”企业高效利用现有土地，在符合城乡规划的前提下，工业用地提高容积率，不再补缴土地出让金及相关费用；使用</w:t>
      </w:r>
      <w:r w:rsidRPr="003B30E5">
        <w:rPr>
          <w:rFonts w:ascii="新宋体" w:eastAsia="新宋体" w:hAnsi="新宋体" w:cs="宋体"/>
          <w:color w:val="555555"/>
          <w:kern w:val="0"/>
          <w:sz w:val="32"/>
          <w:szCs w:val="32"/>
          <w:bdr w:val="none" w:sz="0" w:space="0" w:color="auto" w:frame="1"/>
        </w:rPr>
        <w:lastRenderedPageBreak/>
        <w:t>地下空间的，按照《泰安市人民政府关于进一步加强节约集约用地管理的意见》（</w:t>
      </w:r>
      <w:proofErr w:type="gramStart"/>
      <w:r w:rsidRPr="003B30E5">
        <w:rPr>
          <w:rFonts w:ascii="新宋体" w:eastAsia="新宋体" w:hAnsi="新宋体" w:cs="宋体"/>
          <w:color w:val="555555"/>
          <w:kern w:val="0"/>
          <w:sz w:val="32"/>
          <w:szCs w:val="32"/>
          <w:bdr w:val="none" w:sz="0" w:space="0" w:color="auto" w:frame="1"/>
        </w:rPr>
        <w:t>泰政发</w:t>
      </w:r>
      <w:proofErr w:type="gramEnd"/>
      <w:r w:rsidRPr="003B30E5">
        <w:rPr>
          <w:rFonts w:ascii="新宋体" w:eastAsia="新宋体" w:hAnsi="新宋体" w:cs="宋体"/>
          <w:color w:val="555555"/>
          <w:kern w:val="0"/>
          <w:sz w:val="32"/>
          <w:szCs w:val="32"/>
          <w:bdr w:val="none" w:sz="0" w:space="0" w:color="auto" w:frame="1"/>
        </w:rPr>
        <w:t>〔</w:t>
      </w:r>
      <w:r w:rsidRPr="003B30E5">
        <w:rPr>
          <w:rFonts w:ascii="新宋体" w:eastAsia="新宋体" w:hAnsi="新宋体" w:cs="宋体"/>
          <w:color w:val="555555"/>
          <w:kern w:val="0"/>
          <w:szCs w:val="21"/>
          <w:bdr w:val="none" w:sz="0" w:space="0" w:color="auto" w:frame="1"/>
        </w:rPr>
        <w:t>2013</w:t>
      </w:r>
      <w:r w:rsidRPr="003B30E5">
        <w:rPr>
          <w:rFonts w:ascii="新宋体" w:eastAsia="新宋体" w:hAnsi="新宋体" w:cs="宋体"/>
          <w:color w:val="555555"/>
          <w:kern w:val="0"/>
          <w:sz w:val="32"/>
          <w:szCs w:val="32"/>
          <w:bdr w:val="none" w:sz="0" w:space="0" w:color="auto" w:frame="1"/>
        </w:rPr>
        <w:t>〕</w:t>
      </w:r>
      <w:r w:rsidRPr="003B30E5">
        <w:rPr>
          <w:rFonts w:ascii="新宋体" w:eastAsia="新宋体" w:hAnsi="新宋体" w:cs="宋体"/>
          <w:color w:val="555555"/>
          <w:kern w:val="0"/>
          <w:szCs w:val="21"/>
          <w:bdr w:val="none" w:sz="0" w:space="0" w:color="auto" w:frame="1"/>
        </w:rPr>
        <w:t>5</w:t>
      </w:r>
      <w:r w:rsidRPr="003B30E5">
        <w:rPr>
          <w:rFonts w:ascii="新宋体" w:eastAsia="新宋体" w:hAnsi="新宋体" w:cs="宋体"/>
          <w:color w:val="555555"/>
          <w:kern w:val="0"/>
          <w:sz w:val="32"/>
          <w:szCs w:val="32"/>
          <w:bdr w:val="none" w:sz="0" w:space="0" w:color="auto" w:frame="1"/>
        </w:rPr>
        <w:t>号）文件执行。（牵头单位：区国土分局；责任单位：区经信局、区财政局，各街道镇、泰山经济开发区）</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2、降低用电成本。</w:t>
      </w:r>
      <w:r w:rsidRPr="003B30E5">
        <w:rPr>
          <w:rFonts w:ascii="新宋体" w:eastAsia="新宋体" w:hAnsi="新宋体" w:cs="宋体"/>
          <w:color w:val="555555"/>
          <w:kern w:val="0"/>
          <w:sz w:val="32"/>
          <w:szCs w:val="32"/>
          <w:bdr w:val="none" w:sz="0" w:space="0" w:color="auto" w:frame="1"/>
        </w:rPr>
        <w:t>严格执行《国家发展改革委办公厅关于完善两部制电价用户基本电价执行方式的通知》（发改办价格〔</w:t>
      </w:r>
      <w:r w:rsidRPr="003B30E5">
        <w:rPr>
          <w:rFonts w:ascii="新宋体" w:eastAsia="新宋体" w:hAnsi="新宋体" w:cs="宋体"/>
          <w:color w:val="555555"/>
          <w:kern w:val="0"/>
          <w:szCs w:val="21"/>
          <w:bdr w:val="none" w:sz="0" w:space="0" w:color="auto" w:frame="1"/>
        </w:rPr>
        <w:t>2016</w:t>
      </w:r>
      <w:r w:rsidRPr="003B30E5">
        <w:rPr>
          <w:rFonts w:ascii="新宋体" w:eastAsia="新宋体" w:hAnsi="新宋体" w:cs="宋体"/>
          <w:color w:val="555555"/>
          <w:kern w:val="0"/>
          <w:sz w:val="32"/>
          <w:szCs w:val="32"/>
          <w:bdr w:val="none" w:sz="0" w:space="0" w:color="auto" w:frame="1"/>
        </w:rPr>
        <w:t>〕</w:t>
      </w:r>
      <w:r w:rsidRPr="003B30E5">
        <w:rPr>
          <w:rFonts w:ascii="新宋体" w:eastAsia="新宋体" w:hAnsi="新宋体" w:cs="宋体"/>
          <w:color w:val="555555"/>
          <w:kern w:val="0"/>
          <w:szCs w:val="21"/>
          <w:bdr w:val="none" w:sz="0" w:space="0" w:color="auto" w:frame="1"/>
        </w:rPr>
        <w:t>1583</w:t>
      </w:r>
      <w:r w:rsidRPr="003B30E5">
        <w:rPr>
          <w:rFonts w:ascii="新宋体" w:eastAsia="新宋体" w:hAnsi="新宋体" w:cs="宋体"/>
          <w:color w:val="555555"/>
          <w:kern w:val="0"/>
          <w:sz w:val="32"/>
          <w:szCs w:val="32"/>
          <w:bdr w:val="none" w:sz="0" w:space="0" w:color="auto" w:frame="1"/>
        </w:rPr>
        <w:t>号）等电价政策，最大限度降低“三强”企业用电成本，为“三强”企业提供优质电力资源。（牵头单位：区经信局；责任单位：</w:t>
      </w:r>
      <w:proofErr w:type="gramStart"/>
      <w:r w:rsidRPr="003B30E5">
        <w:rPr>
          <w:rFonts w:ascii="新宋体" w:eastAsia="新宋体" w:hAnsi="新宋体" w:cs="宋体"/>
          <w:color w:val="555555"/>
          <w:kern w:val="0"/>
          <w:sz w:val="32"/>
          <w:szCs w:val="32"/>
          <w:bdr w:val="none" w:sz="0" w:space="0" w:color="auto" w:frame="1"/>
        </w:rPr>
        <w:t>国网泰安</w:t>
      </w:r>
      <w:proofErr w:type="gramEnd"/>
      <w:r w:rsidRPr="003B30E5">
        <w:rPr>
          <w:rFonts w:ascii="新宋体" w:eastAsia="新宋体" w:hAnsi="新宋体" w:cs="宋体"/>
          <w:color w:val="555555"/>
          <w:kern w:val="0"/>
          <w:sz w:val="32"/>
          <w:szCs w:val="32"/>
          <w:bdr w:val="none" w:sz="0" w:space="0" w:color="auto" w:frame="1"/>
        </w:rPr>
        <w:t>供电公司营业室、各街道镇、泰山经济开发区）</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（五）夯实人才支撑</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1、加大企业家培养力度。</w:t>
      </w:r>
      <w:r w:rsidRPr="003B30E5">
        <w:rPr>
          <w:rFonts w:ascii="新宋体" w:eastAsia="新宋体" w:hAnsi="新宋体" w:cs="宋体"/>
          <w:color w:val="555555"/>
          <w:kern w:val="0"/>
          <w:sz w:val="32"/>
          <w:szCs w:val="32"/>
          <w:bdr w:val="none" w:sz="0" w:space="0" w:color="auto" w:frame="1"/>
        </w:rPr>
        <w:t>建立党政领导干部联系企业家制度，制定企业家长期培训计划，设立区级企业培训专项资金，重点对“三强”企业负责人开展分行业、分梯次培训。制定完善提高优秀企业家政治和社会地位的政策措施，激励“三强”企业争先进位。开展“三强”企业管理对标活动，设立“三强”企业管理奖，培育一批管理标杆企业，持续推动“三强”企业管理创新与提升。对引进行业内领军企业作为战略合作伙伴的企业给予奖励。（牵头单位：区经信局；责任单位：区委组织部、区财政局、区人社局）</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2、加大招才引智力度。</w:t>
      </w:r>
      <w:r w:rsidRPr="003B30E5">
        <w:rPr>
          <w:rFonts w:ascii="新宋体" w:eastAsia="新宋体" w:hAnsi="新宋体" w:cs="宋体"/>
          <w:color w:val="555555"/>
          <w:kern w:val="0"/>
          <w:sz w:val="32"/>
          <w:szCs w:val="32"/>
          <w:bdr w:val="none" w:sz="0" w:space="0" w:color="auto" w:frame="1"/>
        </w:rPr>
        <w:t>按照“引进一个人才，组建一个团队，形成一个产业”的思路，加大对推动重大技术突破、新兴产业发展的特殊人才和创新团队的引进力度，加大招才引智政策扶持，鼓励企业引进高层次人才、管理人才，形成人才、</w:t>
      </w:r>
      <w:r w:rsidRPr="003B30E5">
        <w:rPr>
          <w:rFonts w:ascii="新宋体" w:eastAsia="新宋体" w:hAnsi="新宋体" w:cs="宋体"/>
          <w:color w:val="555555"/>
          <w:kern w:val="0"/>
          <w:sz w:val="32"/>
          <w:szCs w:val="32"/>
          <w:bdr w:val="none" w:sz="0" w:space="0" w:color="auto" w:frame="1"/>
        </w:rPr>
        <w:lastRenderedPageBreak/>
        <w:t>产业集聚高地。对“三强”企业全职引进或自主申报入选“千人计划”、“万人计划”、泰山产业领军人才的，给予配套资助。对企业柔性引进省部级以上重点人才工程人选或具有同等水平人才的，经评审后给予部分资助。引导和鼓励“三强”企业引进急需紧缺的科研人才，对引进全日制硕士、博士研究生的，每人按月给予生活补贴，连补三年。（牵头单位：区人才办；责任单位：区人社局、区科技局）</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3、实施人才安居工程。</w:t>
      </w:r>
      <w:r w:rsidRPr="003B30E5">
        <w:rPr>
          <w:rFonts w:ascii="新宋体" w:eastAsia="新宋体" w:hAnsi="新宋体" w:cs="宋体"/>
          <w:color w:val="555555"/>
          <w:kern w:val="0"/>
          <w:sz w:val="32"/>
          <w:szCs w:val="32"/>
          <w:bdr w:val="none" w:sz="0" w:space="0" w:color="auto" w:frame="1"/>
        </w:rPr>
        <w:t>对“三强”企业引进的领军人才，优先安排入住泰山专家公寓；对“三强”企业引进的领军人才团队其他成员，优先安排入住泰山人才公寓。（牵头单位：区人才办；责任单位：泰山经济开发区）</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五、组织保障</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（一）健全领导机制。</w:t>
      </w:r>
      <w:r w:rsidRPr="003B30E5">
        <w:rPr>
          <w:rFonts w:ascii="新宋体" w:eastAsia="新宋体" w:hAnsi="新宋体" w:cs="宋体"/>
          <w:color w:val="555555"/>
          <w:kern w:val="0"/>
          <w:sz w:val="32"/>
          <w:szCs w:val="32"/>
          <w:bdr w:val="none" w:sz="0" w:space="0" w:color="auto" w:frame="1"/>
        </w:rPr>
        <w:t>成立区“三强”企业培植工作领导小组，统筹规划指导“三强”企业培植工作。建立部门联席会议制度，加大对工业“三强带动”战略情况调度分析。定期召开企业家座谈会，及时了解企业发展情况。各街道镇和泰山经济开发区也要成立相应工作机构。</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（二）强化推进机制。</w:t>
      </w:r>
      <w:r w:rsidRPr="003B30E5">
        <w:rPr>
          <w:rFonts w:ascii="新宋体" w:eastAsia="新宋体" w:hAnsi="新宋体" w:cs="宋体"/>
          <w:color w:val="555555"/>
          <w:kern w:val="0"/>
          <w:sz w:val="32"/>
          <w:szCs w:val="32"/>
          <w:bdr w:val="none" w:sz="0" w:space="0" w:color="auto" w:frame="1"/>
        </w:rPr>
        <w:t>每季度召开一次由区政府领导、主要相关职能部门参加的现场督查、协调会议。对“三强”企业运行情况、项目建设进展情况及相关政策落实情况进行调度，帮助企业研究解决推进中的突出矛盾和问题。</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（三）落实包保机制。</w:t>
      </w:r>
      <w:r w:rsidRPr="003B30E5">
        <w:rPr>
          <w:rFonts w:ascii="新宋体" w:eastAsia="新宋体" w:hAnsi="新宋体" w:cs="宋体"/>
          <w:color w:val="555555"/>
          <w:kern w:val="0"/>
          <w:sz w:val="32"/>
          <w:szCs w:val="32"/>
          <w:bdr w:val="none" w:sz="0" w:space="0" w:color="auto" w:frame="1"/>
        </w:rPr>
        <w:t>对“三强”企业实施“</w:t>
      </w:r>
      <w:proofErr w:type="gramStart"/>
      <w:r w:rsidRPr="003B30E5">
        <w:rPr>
          <w:rFonts w:ascii="新宋体" w:eastAsia="新宋体" w:hAnsi="新宋体" w:cs="宋体"/>
          <w:color w:val="555555"/>
          <w:kern w:val="0"/>
          <w:sz w:val="32"/>
          <w:szCs w:val="32"/>
          <w:bdr w:val="none" w:sz="0" w:space="0" w:color="auto" w:frame="1"/>
        </w:rPr>
        <w:t>一</w:t>
      </w:r>
      <w:proofErr w:type="gramEnd"/>
      <w:r w:rsidRPr="003B30E5">
        <w:rPr>
          <w:rFonts w:ascii="新宋体" w:eastAsia="新宋体" w:hAnsi="新宋体" w:cs="宋体"/>
          <w:color w:val="555555"/>
          <w:kern w:val="0"/>
          <w:sz w:val="32"/>
          <w:szCs w:val="32"/>
          <w:bdr w:val="none" w:sz="0" w:space="0" w:color="auto" w:frame="1"/>
        </w:rPr>
        <w:t>企</w:t>
      </w:r>
      <w:proofErr w:type="gramStart"/>
      <w:r w:rsidRPr="003B30E5">
        <w:rPr>
          <w:rFonts w:ascii="新宋体" w:eastAsia="新宋体" w:hAnsi="新宋体" w:cs="宋体"/>
          <w:color w:val="555555"/>
          <w:kern w:val="0"/>
          <w:sz w:val="32"/>
          <w:szCs w:val="32"/>
          <w:bdr w:val="none" w:sz="0" w:space="0" w:color="auto" w:frame="1"/>
        </w:rPr>
        <w:t>一规</w:t>
      </w:r>
      <w:proofErr w:type="gramEnd"/>
      <w:r w:rsidRPr="003B30E5">
        <w:rPr>
          <w:rFonts w:ascii="新宋体" w:eastAsia="新宋体" w:hAnsi="新宋体" w:cs="宋体"/>
          <w:color w:val="555555"/>
          <w:kern w:val="0"/>
          <w:sz w:val="32"/>
          <w:szCs w:val="32"/>
          <w:bdr w:val="none" w:sz="0" w:space="0" w:color="auto" w:frame="1"/>
        </w:rPr>
        <w:t>、</w:t>
      </w:r>
      <w:proofErr w:type="gramStart"/>
      <w:r w:rsidRPr="003B30E5">
        <w:rPr>
          <w:rFonts w:ascii="新宋体" w:eastAsia="新宋体" w:hAnsi="新宋体" w:cs="宋体"/>
          <w:color w:val="555555"/>
          <w:kern w:val="0"/>
          <w:sz w:val="32"/>
          <w:szCs w:val="32"/>
          <w:bdr w:val="none" w:sz="0" w:space="0" w:color="auto" w:frame="1"/>
        </w:rPr>
        <w:t>一</w:t>
      </w:r>
      <w:proofErr w:type="gramEnd"/>
      <w:r w:rsidRPr="003B30E5">
        <w:rPr>
          <w:rFonts w:ascii="新宋体" w:eastAsia="新宋体" w:hAnsi="新宋体" w:cs="宋体"/>
          <w:color w:val="555555"/>
          <w:kern w:val="0"/>
          <w:sz w:val="32"/>
          <w:szCs w:val="32"/>
          <w:bdr w:val="none" w:sz="0" w:space="0" w:color="auto" w:frame="1"/>
        </w:rPr>
        <w:t>企一档、</w:t>
      </w:r>
      <w:proofErr w:type="gramStart"/>
      <w:r w:rsidRPr="003B30E5">
        <w:rPr>
          <w:rFonts w:ascii="新宋体" w:eastAsia="新宋体" w:hAnsi="新宋体" w:cs="宋体"/>
          <w:color w:val="555555"/>
          <w:kern w:val="0"/>
          <w:sz w:val="32"/>
          <w:szCs w:val="32"/>
          <w:bdr w:val="none" w:sz="0" w:space="0" w:color="auto" w:frame="1"/>
        </w:rPr>
        <w:t>一</w:t>
      </w:r>
      <w:proofErr w:type="gramEnd"/>
      <w:r w:rsidRPr="003B30E5">
        <w:rPr>
          <w:rFonts w:ascii="新宋体" w:eastAsia="新宋体" w:hAnsi="新宋体" w:cs="宋体"/>
          <w:color w:val="555555"/>
          <w:kern w:val="0"/>
          <w:sz w:val="32"/>
          <w:szCs w:val="32"/>
          <w:bdr w:val="none" w:sz="0" w:space="0" w:color="auto" w:frame="1"/>
        </w:rPr>
        <w:t>企</w:t>
      </w:r>
      <w:proofErr w:type="gramStart"/>
      <w:r w:rsidRPr="003B30E5">
        <w:rPr>
          <w:rFonts w:ascii="新宋体" w:eastAsia="新宋体" w:hAnsi="新宋体" w:cs="宋体"/>
          <w:color w:val="555555"/>
          <w:kern w:val="0"/>
          <w:sz w:val="32"/>
          <w:szCs w:val="32"/>
          <w:bdr w:val="none" w:sz="0" w:space="0" w:color="auto" w:frame="1"/>
        </w:rPr>
        <w:t>一</w:t>
      </w:r>
      <w:proofErr w:type="gramEnd"/>
      <w:r w:rsidRPr="003B30E5">
        <w:rPr>
          <w:rFonts w:ascii="新宋体" w:eastAsia="新宋体" w:hAnsi="新宋体" w:cs="宋体"/>
          <w:color w:val="555555"/>
          <w:kern w:val="0"/>
          <w:sz w:val="32"/>
          <w:szCs w:val="32"/>
          <w:bdr w:val="none" w:sz="0" w:space="0" w:color="auto" w:frame="1"/>
        </w:rPr>
        <w:t>策”管理，明确企业发展目标、政府扶持政策及责任单位，实行区领导包保责任制，建立联系人制</w:t>
      </w:r>
      <w:r w:rsidRPr="003B30E5">
        <w:rPr>
          <w:rFonts w:ascii="新宋体" w:eastAsia="新宋体" w:hAnsi="新宋体" w:cs="宋体"/>
          <w:color w:val="555555"/>
          <w:kern w:val="0"/>
          <w:sz w:val="32"/>
          <w:szCs w:val="32"/>
          <w:bdr w:val="none" w:sz="0" w:space="0" w:color="auto" w:frame="1"/>
        </w:rPr>
        <w:lastRenderedPageBreak/>
        <w:t>度，加强对企业的跟踪联系，及时了解企业发展及项目建设情况。</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（四）强化考核督查。</w:t>
      </w:r>
      <w:r w:rsidRPr="003B30E5">
        <w:rPr>
          <w:rFonts w:ascii="新宋体" w:eastAsia="新宋体" w:hAnsi="新宋体" w:cs="宋体"/>
          <w:color w:val="555555"/>
          <w:kern w:val="0"/>
          <w:sz w:val="32"/>
          <w:szCs w:val="32"/>
          <w:bdr w:val="none" w:sz="0" w:space="0" w:color="auto" w:frame="1"/>
        </w:rPr>
        <w:t>各有关部门和单位要立足创新，结合实际，建立科学的考核指标体系，对培植“三强”企业作为独立考核内容，纳入全区经济社会发展综合考核。实行动态监测，强化督导检查，主管部门要经常对各街道镇和泰山经济开发区“三强”培植工作，进行调研督导。各街道镇、泰山经济开发区要围绕“三强带动”战略发展目标，细化分解任务，明确具体推进措施。</w:t>
      </w:r>
    </w:p>
    <w:p w:rsidR="003B30E5" w:rsidRPr="003B30E5" w:rsidRDefault="003B30E5" w:rsidP="003B30E5">
      <w:pPr>
        <w:widowControl/>
        <w:shd w:val="clear" w:color="auto" w:fill="F4F4F4"/>
        <w:spacing w:line="540" w:lineRule="atLeast"/>
        <w:ind w:firstLine="64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32"/>
          <w:szCs w:val="32"/>
          <w:bdr w:val="none" w:sz="0" w:space="0" w:color="auto" w:frame="1"/>
        </w:rPr>
        <w:t>（五）加强宣传引导。</w:t>
      </w:r>
      <w:r w:rsidRPr="003B30E5">
        <w:rPr>
          <w:rFonts w:ascii="新宋体" w:eastAsia="新宋体" w:hAnsi="新宋体" w:cs="宋体"/>
          <w:color w:val="555555"/>
          <w:kern w:val="0"/>
          <w:sz w:val="32"/>
          <w:szCs w:val="32"/>
          <w:bdr w:val="none" w:sz="0" w:space="0" w:color="auto" w:frame="1"/>
        </w:rPr>
        <w:t>组织新闻媒体认真做好政策解读、成功经验和先进典型的宣传报导工作，及时曝光反面典型，把握好舆论引导的时机、深度和广度，引导全社会关心工业转型发展、“三强”企业培植，努力形成各类市场主体、中介机构、政府部门共同推进工业发展的良好舆论氛围。</w:t>
      </w:r>
    </w:p>
    <w:p w:rsidR="003B30E5" w:rsidRPr="003B30E5" w:rsidRDefault="003B30E5" w:rsidP="003B30E5">
      <w:pPr>
        <w:widowControl/>
        <w:shd w:val="clear" w:color="auto" w:fill="F4F4F4"/>
        <w:spacing w:line="520" w:lineRule="atLeast"/>
        <w:ind w:firstLine="480"/>
        <w:jc w:val="left"/>
        <w:rPr>
          <w:rFonts w:ascii="宋体" w:eastAsia="宋体" w:hAnsi="宋体" w:cs="宋体"/>
          <w:color w:val="333333"/>
          <w:kern w:val="0"/>
          <w:sz w:val="24"/>
          <w:szCs w:val="24"/>
        </w:rPr>
      </w:pPr>
      <w:r w:rsidRPr="003B30E5">
        <w:rPr>
          <w:rFonts w:ascii="新宋体" w:eastAsia="新宋体" w:hAnsi="新宋体" w:cs="宋体"/>
          <w:b/>
          <w:bCs/>
          <w:color w:val="555555"/>
          <w:kern w:val="0"/>
          <w:sz w:val="24"/>
          <w:szCs w:val="24"/>
          <w:bdr w:val="none" w:sz="0" w:space="0" w:color="auto" w:frame="1"/>
        </w:rPr>
        <w:t> </w:t>
      </w:r>
      <w:r w:rsidRPr="003B30E5">
        <w:rPr>
          <w:rFonts w:ascii="新宋体" w:eastAsia="新宋体" w:hAnsi="新宋体" w:cs="宋体"/>
          <w:color w:val="555555"/>
          <w:kern w:val="0"/>
          <w:sz w:val="32"/>
          <w:szCs w:val="32"/>
          <w:bdr w:val="none" w:sz="0" w:space="0" w:color="auto" w:frame="1"/>
        </w:rPr>
        <w:t xml:space="preserve">                                 </w:t>
      </w:r>
    </w:p>
    <w:p w:rsidR="003B30E5" w:rsidRPr="003B30E5" w:rsidRDefault="003B30E5" w:rsidP="003B30E5">
      <w:pPr>
        <w:widowControl/>
        <w:shd w:val="clear" w:color="auto" w:fill="F4F4F4"/>
        <w:spacing w:line="52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 xml:space="preserve">                    </w:t>
      </w:r>
    </w:p>
    <w:p w:rsidR="003B30E5" w:rsidRPr="003B30E5" w:rsidRDefault="003B30E5" w:rsidP="003B30E5">
      <w:pPr>
        <w:widowControl/>
        <w:shd w:val="clear" w:color="auto" w:fill="F4F4F4"/>
        <w:spacing w:line="520" w:lineRule="exact"/>
        <w:ind w:firstLineChars="200" w:firstLine="640"/>
        <w:jc w:val="righ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泰安市泰山区人民政府</w:t>
      </w:r>
    </w:p>
    <w:p w:rsidR="003B30E5" w:rsidRPr="003B30E5" w:rsidRDefault="003B30E5" w:rsidP="003B30E5">
      <w:pPr>
        <w:widowControl/>
        <w:shd w:val="clear" w:color="auto" w:fill="F4F4F4"/>
        <w:spacing w:line="520" w:lineRule="atLeast"/>
        <w:ind w:firstLine="640"/>
        <w:jc w:val="left"/>
        <w:rPr>
          <w:rFonts w:ascii="宋体" w:eastAsia="宋体" w:hAnsi="宋体" w:cs="宋体"/>
          <w:color w:val="333333"/>
          <w:kern w:val="0"/>
          <w:sz w:val="24"/>
          <w:szCs w:val="24"/>
        </w:rPr>
      </w:pPr>
      <w:r w:rsidRPr="003B30E5">
        <w:rPr>
          <w:rFonts w:ascii="新宋体" w:eastAsia="新宋体" w:hAnsi="新宋体" w:cs="宋体"/>
          <w:color w:val="555555"/>
          <w:kern w:val="0"/>
          <w:sz w:val="32"/>
          <w:szCs w:val="32"/>
          <w:bdr w:val="none" w:sz="0" w:space="0" w:color="auto" w:frame="1"/>
        </w:rPr>
        <w:t>      </w:t>
      </w:r>
    </w:p>
    <w:p w:rsidR="003B30E5" w:rsidRPr="003B30E5" w:rsidRDefault="003B30E5" w:rsidP="003B30E5">
      <w:pPr>
        <w:widowControl/>
        <w:shd w:val="clear" w:color="auto" w:fill="F4F4F4"/>
        <w:spacing w:line="520" w:lineRule="atLeast"/>
        <w:ind w:firstLine="640"/>
        <w:jc w:val="left"/>
        <w:rPr>
          <w:rFonts w:ascii="宋体" w:eastAsia="宋体" w:hAnsi="宋体" w:cs="宋体"/>
          <w:color w:val="333333"/>
          <w:kern w:val="0"/>
          <w:sz w:val="24"/>
          <w:szCs w:val="24"/>
        </w:rPr>
      </w:pPr>
      <w:hyperlink r:id="rId5" w:history="1">
        <w:r w:rsidRPr="003B30E5">
          <w:rPr>
            <w:rFonts w:ascii="新宋体" w:eastAsia="新宋体" w:hAnsi="新宋体" w:cs="宋体"/>
            <w:color w:val="323232"/>
            <w:kern w:val="0"/>
            <w:sz w:val="32"/>
            <w:szCs w:val="32"/>
            <w:bdr w:val="none" w:sz="0" w:space="0" w:color="auto" w:frame="1"/>
          </w:rPr>
          <w:t>政策解读</w:t>
        </w:r>
      </w:hyperlink>
    </w:p>
    <w:p w:rsidR="003B30E5" w:rsidRPr="003B30E5" w:rsidRDefault="003B30E5" w:rsidP="003B30E5">
      <w:pPr>
        <w:widowControl/>
        <w:shd w:val="clear" w:color="auto" w:fill="F4F4F4"/>
        <w:spacing w:line="360" w:lineRule="atLeast"/>
        <w:jc w:val="left"/>
        <w:rPr>
          <w:rFonts w:ascii="新宋体" w:eastAsia="新宋体" w:hAnsi="新宋体" w:cs="宋体"/>
          <w:color w:val="555555"/>
          <w:kern w:val="0"/>
          <w:sz w:val="32"/>
          <w:szCs w:val="32"/>
          <w:bdr w:val="none" w:sz="0" w:space="0" w:color="auto" w:frame="1"/>
        </w:rPr>
        <w:sectPr w:rsidR="003B30E5" w:rsidRPr="003B30E5">
          <w:pgSz w:w="12240" w:h="15840"/>
          <w:pgMar w:top="1440" w:right="1800" w:bottom="1440" w:left="1800" w:header="720" w:footer="720" w:gutter="0"/>
          <w:cols w:space="720"/>
        </w:sectPr>
      </w:pPr>
    </w:p>
    <w:p w:rsidR="00FE3BCC" w:rsidRPr="003B30E5" w:rsidRDefault="00FE3BCC"/>
    <w:sectPr w:rsidR="00FE3BCC" w:rsidRPr="003B30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新宋体">
    <w:panose1 w:val="02010609030101010101"/>
    <w:charset w:val="86"/>
    <w:family w:val="modern"/>
    <w:pitch w:val="fixed"/>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E5"/>
    <w:rsid w:val="003B30E5"/>
    <w:rsid w:val="00F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A97D1-16BB-4979-A639-BF5BB01A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30E5"/>
    <w:rPr>
      <w:strike w:val="0"/>
      <w:dstrike w:val="0"/>
      <w:color w:val="323232"/>
      <w:u w:val="none"/>
      <w:effect w:val="none"/>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616071">
      <w:bodyDiv w:val="1"/>
      <w:marLeft w:val="0"/>
      <w:marRight w:val="0"/>
      <w:marTop w:val="0"/>
      <w:marBottom w:val="0"/>
      <w:divBdr>
        <w:top w:val="none" w:sz="0" w:space="0" w:color="auto"/>
        <w:left w:val="none" w:sz="0" w:space="0" w:color="auto"/>
        <w:bottom w:val="none" w:sz="0" w:space="0" w:color="auto"/>
        <w:right w:val="none" w:sz="0" w:space="0" w:color="auto"/>
      </w:divBdr>
      <w:divsChild>
        <w:div w:id="1577519973">
          <w:marLeft w:val="0"/>
          <w:marRight w:val="0"/>
          <w:marTop w:val="0"/>
          <w:marBottom w:val="0"/>
          <w:divBdr>
            <w:top w:val="none" w:sz="0" w:space="0" w:color="auto"/>
            <w:left w:val="none" w:sz="0" w:space="0" w:color="auto"/>
            <w:bottom w:val="none" w:sz="0" w:space="0" w:color="auto"/>
            <w:right w:val="none" w:sz="0" w:space="0" w:color="auto"/>
          </w:divBdr>
          <w:divsChild>
            <w:div w:id="1431387917">
              <w:marLeft w:val="0"/>
              <w:marRight w:val="0"/>
              <w:marTop w:val="0"/>
              <w:marBottom w:val="0"/>
              <w:divBdr>
                <w:top w:val="none" w:sz="0" w:space="0" w:color="auto"/>
                <w:left w:val="none" w:sz="0" w:space="0" w:color="auto"/>
                <w:bottom w:val="none" w:sz="0" w:space="0" w:color="auto"/>
                <w:right w:val="none" w:sz="0" w:space="0" w:color="auto"/>
              </w:divBdr>
              <w:divsChild>
                <w:div w:id="1034966685">
                  <w:marLeft w:val="0"/>
                  <w:marRight w:val="0"/>
                  <w:marTop w:val="0"/>
                  <w:marBottom w:val="0"/>
                  <w:divBdr>
                    <w:top w:val="single" w:sz="6" w:space="15" w:color="D3D1D1"/>
                    <w:left w:val="single" w:sz="6" w:space="0" w:color="D3D1D1"/>
                    <w:bottom w:val="single" w:sz="6" w:space="15" w:color="D3D1D1"/>
                    <w:right w:val="single" w:sz="6" w:space="0" w:color="D3D1D1"/>
                  </w:divBdr>
                  <w:divsChild>
                    <w:div w:id="1761758158">
                      <w:marLeft w:val="0"/>
                      <w:marRight w:val="0"/>
                      <w:marTop w:val="300"/>
                      <w:marBottom w:val="300"/>
                      <w:divBdr>
                        <w:top w:val="none" w:sz="0" w:space="0" w:color="auto"/>
                        <w:left w:val="none" w:sz="0" w:space="0" w:color="auto"/>
                        <w:bottom w:val="none" w:sz="0" w:space="0" w:color="auto"/>
                        <w:right w:val="none" w:sz="0" w:space="0" w:color="auto"/>
                      </w:divBdr>
                    </w:div>
                    <w:div w:id="597174837">
                      <w:marLeft w:val="0"/>
                      <w:marRight w:val="0"/>
                      <w:marTop w:val="0"/>
                      <w:marBottom w:val="0"/>
                      <w:divBdr>
                        <w:top w:val="none" w:sz="0" w:space="0" w:color="auto"/>
                        <w:left w:val="none" w:sz="0" w:space="0" w:color="auto"/>
                        <w:bottom w:val="none" w:sz="0" w:space="0" w:color="auto"/>
                        <w:right w:val="none" w:sz="0" w:space="0" w:color="auto"/>
                      </w:divBdr>
                      <w:divsChild>
                        <w:div w:id="861209951">
                          <w:marLeft w:val="0"/>
                          <w:marRight w:val="0"/>
                          <w:marTop w:val="0"/>
                          <w:marBottom w:val="0"/>
                          <w:divBdr>
                            <w:top w:val="none" w:sz="0" w:space="0" w:color="auto"/>
                            <w:left w:val="none" w:sz="0" w:space="0" w:color="auto"/>
                            <w:bottom w:val="none" w:sz="0" w:space="0" w:color="auto"/>
                            <w:right w:val="none" w:sz="0" w:space="0" w:color="auto"/>
                          </w:divBdr>
                          <w:divsChild>
                            <w:div w:id="7492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fo.taian.gov.cn/qx/zfxxtsq/bmhdw/qzfbgs/201801/t20180102_765095.html" TargetMode="External"/><Relationship Id="rId4" Type="http://schemas.openxmlformats.org/officeDocument/2006/relationships/hyperlink" Target="http://baike.baidu.com/view/15713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2018-05-16T07:06:00Z</dcterms:created>
  <dcterms:modified xsi:type="dcterms:W3CDTF">2018-05-16T07:06:00Z</dcterms:modified>
</cp:coreProperties>
</file>