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00" w:type="dxa"/>
        <w:jc w:val="center"/>
        <w:tblCellSpacing w:w="0" w:type="dxa"/>
        <w:shd w:val="clear" w:color="auto" w:fill="CCCCCC"/>
        <w:tblCellMar>
          <w:left w:w="0" w:type="dxa"/>
          <w:right w:w="0" w:type="dxa"/>
        </w:tblCellMar>
        <w:tblLook w:val="04A0" w:firstRow="1" w:lastRow="0" w:firstColumn="1" w:lastColumn="0" w:noHBand="0" w:noVBand="1"/>
      </w:tblPr>
      <w:tblGrid>
        <w:gridCol w:w="15000"/>
      </w:tblGrid>
      <w:tr w:rsidR="00183011" w:rsidRPr="00183011" w:rsidTr="00183011">
        <w:trPr>
          <w:trHeight w:val="210"/>
          <w:tblCellSpacing w:w="0" w:type="dxa"/>
          <w:jc w:val="center"/>
        </w:trPr>
        <w:tc>
          <w:tcPr>
            <w:tcW w:w="0" w:type="auto"/>
            <w:shd w:val="clear" w:color="auto" w:fill="CCCCCC"/>
            <w:hideMark/>
          </w:tcPr>
          <w:p w:rsidR="00183011" w:rsidRPr="00183011" w:rsidRDefault="00183011" w:rsidP="00183011">
            <w:pPr>
              <w:widowControl/>
              <w:jc w:val="left"/>
              <w:rPr>
                <w:rFonts w:ascii="宋体" w:eastAsia="宋体" w:hAnsi="宋体" w:cs="宋体"/>
                <w:kern w:val="0"/>
                <w:sz w:val="24"/>
                <w:szCs w:val="24"/>
              </w:rPr>
            </w:pPr>
          </w:p>
        </w:tc>
      </w:tr>
      <w:tr w:rsidR="00183011" w:rsidRPr="00183011" w:rsidTr="00183011">
        <w:trPr>
          <w:trHeight w:val="45"/>
          <w:tblCellSpacing w:w="0" w:type="dxa"/>
          <w:jc w:val="center"/>
        </w:trPr>
        <w:tc>
          <w:tcPr>
            <w:tcW w:w="0" w:type="auto"/>
            <w:shd w:val="clear" w:color="auto" w:fill="CCCCCC"/>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5000"/>
            </w:tblGrid>
            <w:tr w:rsidR="00183011" w:rsidRPr="00183011">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5000"/>
                  </w:tblGrid>
                  <w:tr w:rsidR="00183011" w:rsidRPr="00183011">
                    <w:trPr>
                      <w:tblCellSpacing w:w="0" w:type="dxa"/>
                    </w:trPr>
                    <w:tc>
                      <w:tcPr>
                        <w:tcW w:w="0" w:type="auto"/>
                        <w:hideMark/>
                      </w:tcPr>
                      <w:p w:rsidR="00183011" w:rsidRPr="00183011" w:rsidRDefault="00183011" w:rsidP="00183011">
                        <w:pPr>
                          <w:widowControl/>
                          <w:spacing w:line="480" w:lineRule="auto"/>
                          <w:jc w:val="left"/>
                          <w:rPr>
                            <w:rFonts w:ascii="Times New Roman" w:eastAsia="Times New Roman" w:hAnsi="Times New Roman" w:cs="Times New Roman"/>
                            <w:kern w:val="0"/>
                            <w:sz w:val="20"/>
                            <w:szCs w:val="20"/>
                          </w:rPr>
                        </w:pPr>
                      </w:p>
                    </w:tc>
                  </w:tr>
                </w:tbl>
                <w:p w:rsidR="00183011" w:rsidRPr="00183011" w:rsidRDefault="00183011" w:rsidP="00183011">
                  <w:pPr>
                    <w:widowControl/>
                    <w:spacing w:line="480" w:lineRule="auto"/>
                    <w:jc w:val="left"/>
                    <w:rPr>
                      <w:rFonts w:ascii="ˎ̥" w:eastAsia="宋体" w:hAnsi="ˎ̥" w:cs="宋体" w:hint="eastAsia"/>
                      <w:vanish/>
                      <w:color w:val="000000"/>
                      <w:kern w:val="0"/>
                      <w:sz w:val="18"/>
                      <w:szCs w:val="18"/>
                    </w:rPr>
                  </w:pPr>
                </w:p>
                <w:tbl>
                  <w:tblPr>
                    <w:tblW w:w="13500" w:type="dxa"/>
                    <w:jc w:val="center"/>
                    <w:tblCellSpacing w:w="0" w:type="dxa"/>
                    <w:shd w:val="clear" w:color="auto" w:fill="FFFFFF"/>
                    <w:tblCellMar>
                      <w:left w:w="0" w:type="dxa"/>
                      <w:right w:w="0" w:type="dxa"/>
                    </w:tblCellMar>
                    <w:tblLook w:val="04A0" w:firstRow="1" w:lastRow="0" w:firstColumn="1" w:lastColumn="0" w:noHBand="0" w:noVBand="1"/>
                  </w:tblPr>
                  <w:tblGrid>
                    <w:gridCol w:w="13500"/>
                  </w:tblGrid>
                  <w:tr w:rsidR="00183011" w:rsidRPr="00183011">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40"/>
                          <w:gridCol w:w="13020"/>
                          <w:gridCol w:w="240"/>
                        </w:tblGrid>
                        <w:tr w:rsidR="00183011" w:rsidRPr="00183011">
                          <w:trPr>
                            <w:trHeight w:val="240"/>
                            <w:tblCellSpacing w:w="0" w:type="dxa"/>
                          </w:trPr>
                          <w:tc>
                            <w:tcPr>
                              <w:tcW w:w="240" w:type="dxa"/>
                              <w:vAlign w:val="center"/>
                              <w:hideMark/>
                            </w:tcPr>
                            <w:p w:rsidR="00183011" w:rsidRPr="00183011" w:rsidRDefault="00183011" w:rsidP="00183011">
                              <w:pPr>
                                <w:widowControl/>
                                <w:spacing w:line="480" w:lineRule="auto"/>
                                <w:jc w:val="left"/>
                                <w:rPr>
                                  <w:rFonts w:ascii="ˎ̥" w:eastAsia="宋体" w:hAnsi="ˎ̥" w:cs="宋体"/>
                                  <w:color w:val="000000"/>
                                  <w:kern w:val="0"/>
                                  <w:sz w:val="18"/>
                                  <w:szCs w:val="18"/>
                                </w:rPr>
                              </w:pPr>
                              <w:r w:rsidRPr="00183011">
                                <w:rPr>
                                  <w:rFonts w:ascii="ˎ̥" w:eastAsia="宋体" w:hAnsi="ˎ̥" w:cs="宋体" w:hint="eastAsia"/>
                                  <w:noProof/>
                                  <w:color w:val="000000"/>
                                  <w:kern w:val="0"/>
                                  <w:sz w:val="18"/>
                                  <w:szCs w:val="18"/>
                                </w:rPr>
                                <w:drawing>
                                  <wp:inline distT="0" distB="0" distL="0" distR="0">
                                    <wp:extent cx="149225" cy="149225"/>
                                    <wp:effectExtent l="0" t="0" r="3175" b="3175"/>
                                    <wp:docPr id="4" name="图片 4" descr="http://www.guilin.gov.cn/images/fileview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uilin.gov.cn/images/fileview_0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tc>
                          <w:tc>
                            <w:tcPr>
                              <w:tcW w:w="13020" w:type="dxa"/>
                              <w:vAlign w:val="center"/>
                              <w:hideMark/>
                            </w:tcPr>
                            <w:p w:rsidR="00183011" w:rsidRPr="00183011" w:rsidRDefault="00183011" w:rsidP="00183011">
                              <w:pPr>
                                <w:widowControl/>
                                <w:spacing w:line="480" w:lineRule="auto"/>
                                <w:jc w:val="left"/>
                                <w:rPr>
                                  <w:rFonts w:ascii="ˎ̥" w:eastAsia="宋体" w:hAnsi="ˎ̥" w:cs="宋体"/>
                                  <w:color w:val="000000"/>
                                  <w:kern w:val="0"/>
                                  <w:sz w:val="18"/>
                                  <w:szCs w:val="18"/>
                                </w:rPr>
                              </w:pPr>
                            </w:p>
                          </w:tc>
                          <w:tc>
                            <w:tcPr>
                              <w:tcW w:w="240" w:type="dxa"/>
                              <w:vAlign w:val="center"/>
                              <w:hideMark/>
                            </w:tcPr>
                            <w:p w:rsidR="00183011" w:rsidRPr="00183011" w:rsidRDefault="00183011" w:rsidP="00183011">
                              <w:pPr>
                                <w:widowControl/>
                                <w:spacing w:line="480" w:lineRule="auto"/>
                                <w:jc w:val="right"/>
                                <w:rPr>
                                  <w:rFonts w:ascii="ˎ̥" w:eastAsia="宋体" w:hAnsi="ˎ̥" w:cs="宋体"/>
                                  <w:color w:val="000000"/>
                                  <w:kern w:val="0"/>
                                  <w:sz w:val="18"/>
                                  <w:szCs w:val="18"/>
                                </w:rPr>
                              </w:pPr>
                              <w:r w:rsidRPr="00183011">
                                <w:rPr>
                                  <w:rFonts w:ascii="ˎ̥" w:eastAsia="宋体" w:hAnsi="ˎ̥" w:cs="宋体" w:hint="eastAsia"/>
                                  <w:noProof/>
                                  <w:color w:val="000000"/>
                                  <w:kern w:val="0"/>
                                  <w:sz w:val="18"/>
                                  <w:szCs w:val="18"/>
                                </w:rPr>
                                <w:drawing>
                                  <wp:inline distT="0" distB="0" distL="0" distR="0">
                                    <wp:extent cx="149225" cy="149225"/>
                                    <wp:effectExtent l="0" t="0" r="3175" b="3175"/>
                                    <wp:docPr id="3" name="图片 3" descr="http://www.guilin.gov.cn/images/fileview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uilin.gov.cn/images/fileview_0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tc>
                        </w:tr>
                      </w:tbl>
                      <w:p w:rsidR="00183011" w:rsidRPr="00183011" w:rsidRDefault="00183011" w:rsidP="00183011">
                        <w:pPr>
                          <w:widowControl/>
                          <w:spacing w:line="480" w:lineRule="auto"/>
                          <w:jc w:val="left"/>
                          <w:rPr>
                            <w:rFonts w:ascii="ˎ̥" w:eastAsia="宋体" w:hAnsi="ˎ̥" w:cs="宋体"/>
                            <w:color w:val="000000"/>
                            <w:kern w:val="0"/>
                            <w:sz w:val="18"/>
                            <w:szCs w:val="18"/>
                          </w:rPr>
                        </w:pPr>
                      </w:p>
                    </w:tc>
                  </w:tr>
                  <w:tr w:rsidR="00183011" w:rsidRPr="00183011">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40"/>
                          <w:gridCol w:w="13020"/>
                          <w:gridCol w:w="240"/>
                        </w:tblGrid>
                        <w:tr w:rsidR="00183011" w:rsidRPr="00183011">
                          <w:trPr>
                            <w:trHeight w:val="10500"/>
                            <w:tblCellSpacing w:w="0" w:type="dxa"/>
                          </w:trPr>
                          <w:tc>
                            <w:tcPr>
                              <w:tcW w:w="240" w:type="dxa"/>
                              <w:vAlign w:val="center"/>
                              <w:hideMark/>
                            </w:tcPr>
                            <w:p w:rsidR="00183011" w:rsidRPr="00183011" w:rsidRDefault="00183011" w:rsidP="00183011">
                              <w:pPr>
                                <w:widowControl/>
                                <w:spacing w:line="480" w:lineRule="auto"/>
                                <w:jc w:val="left"/>
                                <w:rPr>
                                  <w:rFonts w:ascii="ˎ̥" w:eastAsia="宋体" w:hAnsi="ˎ̥" w:cs="宋体"/>
                                  <w:color w:val="000000"/>
                                  <w:kern w:val="0"/>
                                  <w:sz w:val="18"/>
                                  <w:szCs w:val="18"/>
                                </w:rPr>
                              </w:pPr>
                              <w:r w:rsidRPr="00183011">
                                <w:rPr>
                                  <w:rFonts w:ascii="ˎ̥" w:eastAsia="宋体" w:hAnsi="ˎ̥" w:cs="宋体"/>
                                  <w:color w:val="000000"/>
                                  <w:kern w:val="0"/>
                                  <w:sz w:val="18"/>
                                  <w:szCs w:val="18"/>
                                </w:rPr>
                                <w:t xml:space="preserve">　</w:t>
                              </w:r>
                            </w:p>
                          </w:tc>
                          <w:tc>
                            <w:tcPr>
                              <w:tcW w:w="13020" w:type="dxa"/>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020"/>
                              </w:tblGrid>
                              <w:tr w:rsidR="00183011" w:rsidRPr="00183011">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3020"/>
                                    </w:tblGrid>
                                    <w:tr w:rsidR="00183011" w:rsidRPr="00183011">
                                      <w:trPr>
                                        <w:tblCellSpacing w:w="0" w:type="dxa"/>
                                      </w:trPr>
                                      <w:tc>
                                        <w:tcPr>
                                          <w:tcW w:w="0" w:type="auto"/>
                                          <w:hideMark/>
                                        </w:tcPr>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183011" w:rsidRPr="00183011">
                                            <w:trPr>
                                              <w:trHeight w:val="2250"/>
                                              <w:tblCellSpacing w:w="0" w:type="dxa"/>
                                              <w:jc w:val="center"/>
                                            </w:trPr>
                                            <w:tc>
                                              <w:tcPr>
                                                <w:tcW w:w="0" w:type="auto"/>
                                                <w:vAlign w:val="center"/>
                                                <w:hideMark/>
                                              </w:tcPr>
                                              <w:p w:rsidR="00183011" w:rsidRPr="00183011" w:rsidRDefault="00183011" w:rsidP="00183011">
                                                <w:pPr>
                                                  <w:widowControl/>
                                                  <w:spacing w:before="100" w:beforeAutospacing="1" w:after="100" w:afterAutospacing="1" w:line="480" w:lineRule="auto"/>
                                                  <w:jc w:val="center"/>
                                                  <w:rPr>
                                                    <w:rFonts w:ascii="ˎ̥" w:eastAsia="宋体" w:hAnsi="ˎ̥" w:cs="宋体"/>
                                                    <w:b/>
                                                    <w:bCs/>
                                                    <w:color w:val="000000"/>
                                                    <w:kern w:val="0"/>
                                                    <w:sz w:val="45"/>
                                                    <w:szCs w:val="45"/>
                                                  </w:rPr>
                                                </w:pPr>
                                                <w:r w:rsidRPr="00183011">
                                                  <w:rPr>
                                                    <w:rFonts w:ascii="ˎ̥" w:eastAsia="宋体" w:hAnsi="ˎ̥" w:cs="宋体"/>
                                                    <w:b/>
                                                    <w:bCs/>
                                                    <w:color w:val="000000"/>
                                                    <w:kern w:val="0"/>
                                                    <w:sz w:val="45"/>
                                                    <w:szCs w:val="45"/>
                                                  </w:rPr>
                                                  <w:t>桂林市人民政府关于印发</w:t>
                                                </w:r>
                                              </w:p>
                                              <w:p w:rsidR="00183011" w:rsidRPr="00183011" w:rsidRDefault="00183011" w:rsidP="00183011">
                                                <w:pPr>
                                                  <w:widowControl/>
                                                  <w:spacing w:before="100" w:beforeAutospacing="1" w:after="100" w:afterAutospacing="1" w:line="480" w:lineRule="auto"/>
                                                  <w:jc w:val="center"/>
                                                  <w:rPr>
                                                    <w:rFonts w:ascii="ˎ̥" w:eastAsia="宋体" w:hAnsi="ˎ̥" w:cs="宋体"/>
                                                    <w:b/>
                                                    <w:bCs/>
                                                    <w:color w:val="000000"/>
                                                    <w:kern w:val="0"/>
                                                    <w:sz w:val="45"/>
                                                    <w:szCs w:val="45"/>
                                                  </w:rPr>
                                                </w:pPr>
                                                <w:r w:rsidRPr="00183011">
                                                  <w:rPr>
                                                    <w:rFonts w:ascii="ˎ̥" w:eastAsia="宋体" w:hAnsi="ˎ̥" w:cs="宋体"/>
                                                    <w:b/>
                                                    <w:bCs/>
                                                    <w:color w:val="000000"/>
                                                    <w:kern w:val="0"/>
                                                    <w:sz w:val="45"/>
                                                    <w:szCs w:val="45"/>
                                                  </w:rPr>
                                                  <w:t>桂林市促进科技创新发展实施办法的通知</w:t>
                                                </w:r>
                                              </w:p>
                                            </w:tc>
                                          </w:tr>
                                          <w:tr w:rsidR="00183011" w:rsidRPr="00183011">
                                            <w:trPr>
                                              <w:trHeight w:val="375"/>
                                              <w:tblCellSpacing w:w="0" w:type="dxa"/>
                                              <w:jc w:val="center"/>
                                            </w:trPr>
                                            <w:tc>
                                              <w:tcPr>
                                                <w:tcW w:w="0" w:type="auto"/>
                                                <w:vAlign w:val="center"/>
                                                <w:hideMark/>
                                              </w:tcPr>
                                              <w:p w:rsidR="00183011" w:rsidRPr="00183011" w:rsidRDefault="00183011" w:rsidP="00183011">
                                                <w:pPr>
                                                  <w:widowControl/>
                                                  <w:spacing w:line="480" w:lineRule="auto"/>
                                                  <w:jc w:val="left"/>
                                                  <w:rPr>
                                                    <w:rFonts w:ascii="ˎ̥" w:eastAsia="宋体" w:hAnsi="ˎ̥" w:cs="宋体"/>
                                                    <w:color w:val="000000"/>
                                                    <w:kern w:val="0"/>
                                                    <w:sz w:val="18"/>
                                                    <w:szCs w:val="18"/>
                                                  </w:rPr>
                                                </w:pPr>
                                                <w:r w:rsidRPr="00183011">
                                                  <w:rPr>
                                                    <w:rFonts w:ascii="ˎ̥" w:eastAsia="宋体" w:hAnsi="ˎ̥" w:cs="宋体"/>
                                                    <w:color w:val="000000"/>
                                                    <w:kern w:val="0"/>
                                                    <w:sz w:val="18"/>
                                                    <w:szCs w:val="18"/>
                                                  </w:rPr>
                                                  <w:t> </w:t>
                                                </w:r>
                                              </w:p>
                                            </w:tc>
                                          </w:tr>
                                          <w:tr w:rsidR="00183011" w:rsidRPr="00183011">
                                            <w:trPr>
                                              <w:trHeight w:val="450"/>
                                              <w:tblCellSpacing w:w="0" w:type="dxa"/>
                                              <w:jc w:val="center"/>
                                            </w:trPr>
                                            <w:tc>
                                              <w:tcPr>
                                                <w:tcW w:w="0" w:type="auto"/>
                                                <w:vAlign w:val="center"/>
                                                <w:hideMark/>
                                              </w:tcPr>
                                              <w:p w:rsidR="00183011" w:rsidRPr="00183011" w:rsidRDefault="00183011" w:rsidP="00183011">
                                                <w:pPr>
                                                  <w:widowControl/>
                                                  <w:spacing w:before="100" w:beforeAutospacing="1" w:after="100" w:afterAutospacing="1" w:line="480" w:lineRule="auto"/>
                                                  <w:jc w:val="center"/>
                                                  <w:rPr>
                                                    <w:rFonts w:ascii="ˎ̥" w:eastAsia="宋体" w:hAnsi="ˎ̥" w:cs="宋体"/>
                                                    <w:color w:val="000000"/>
                                                    <w:kern w:val="0"/>
                                                    <w:sz w:val="18"/>
                                                    <w:szCs w:val="18"/>
                                                  </w:rPr>
                                                </w:pPr>
                                                <w:r w:rsidRPr="00183011">
                                                  <w:rPr>
                                                    <w:rFonts w:ascii="ˎ̥" w:eastAsia="宋体" w:hAnsi="ˎ̥" w:cs="宋体"/>
                                                    <w:color w:val="000000"/>
                                                    <w:kern w:val="0"/>
                                                    <w:sz w:val="18"/>
                                                    <w:szCs w:val="18"/>
                                                  </w:rPr>
                                                  <w:t>市政〔</w:t>
                                                </w:r>
                                                <w:r w:rsidRPr="00183011">
                                                  <w:rPr>
                                                    <w:rFonts w:ascii="ˎ̥" w:eastAsia="宋体" w:hAnsi="ˎ̥" w:cs="宋体"/>
                                                    <w:color w:val="000000"/>
                                                    <w:kern w:val="0"/>
                                                    <w:sz w:val="18"/>
                                                    <w:szCs w:val="18"/>
                                                  </w:rPr>
                                                  <w:t>2017</w:t>
                                                </w:r>
                                                <w:r w:rsidRPr="00183011">
                                                  <w:rPr>
                                                    <w:rFonts w:ascii="ˎ̥" w:eastAsia="宋体" w:hAnsi="ˎ̥" w:cs="宋体"/>
                                                    <w:color w:val="000000"/>
                                                    <w:kern w:val="0"/>
                                                    <w:sz w:val="18"/>
                                                    <w:szCs w:val="18"/>
                                                  </w:rPr>
                                                  <w:t>〕</w:t>
                                                </w:r>
                                                <w:r w:rsidRPr="00183011">
                                                  <w:rPr>
                                                    <w:rFonts w:ascii="ˎ̥" w:eastAsia="宋体" w:hAnsi="ˎ̥" w:cs="宋体"/>
                                                    <w:color w:val="000000"/>
                                                    <w:kern w:val="0"/>
                                                    <w:sz w:val="18"/>
                                                    <w:szCs w:val="18"/>
                                                  </w:rPr>
                                                  <w:t>10</w:t>
                                                </w:r>
                                                <w:r w:rsidRPr="00183011">
                                                  <w:rPr>
                                                    <w:rFonts w:ascii="ˎ̥" w:eastAsia="宋体" w:hAnsi="ˎ̥" w:cs="宋体"/>
                                                    <w:color w:val="000000"/>
                                                    <w:kern w:val="0"/>
                                                    <w:sz w:val="18"/>
                                                    <w:szCs w:val="18"/>
                                                  </w:rPr>
                                                  <w:t>号</w:t>
                                                </w:r>
                                                <w:r w:rsidRPr="00183011">
                                                  <w:rPr>
                                                    <w:rFonts w:ascii="ˎ̥" w:eastAsia="宋体" w:hAnsi="ˎ̥" w:cs="宋体"/>
                                                    <w:color w:val="000000"/>
                                                    <w:kern w:val="0"/>
                                                    <w:sz w:val="18"/>
                                                    <w:szCs w:val="18"/>
                                                  </w:rPr>
                                                  <w:t xml:space="preserve"> </w:t>
                                                </w:r>
                                              </w:p>
                                            </w:tc>
                                          </w:tr>
                                          <w:tr w:rsidR="00183011" w:rsidRPr="00183011">
                                            <w:trPr>
                                              <w:trHeight w:val="270"/>
                                              <w:tblCellSpacing w:w="0" w:type="dxa"/>
                                              <w:jc w:val="center"/>
                                            </w:trPr>
                                            <w:tc>
                                              <w:tcPr>
                                                <w:tcW w:w="0" w:type="auto"/>
                                                <w:vAlign w:val="center"/>
                                                <w:hideMark/>
                                              </w:tcPr>
                                              <w:p w:rsidR="00183011" w:rsidRPr="00183011" w:rsidRDefault="00183011" w:rsidP="00183011">
                                                <w:pPr>
                                                  <w:widowControl/>
                                                  <w:spacing w:line="480" w:lineRule="auto"/>
                                                  <w:jc w:val="left"/>
                                                  <w:rPr>
                                                    <w:rFonts w:ascii="ˎ̥" w:eastAsia="宋体" w:hAnsi="ˎ̥" w:cs="宋体"/>
                                                    <w:color w:val="000000"/>
                                                    <w:kern w:val="0"/>
                                                    <w:sz w:val="18"/>
                                                    <w:szCs w:val="18"/>
                                                  </w:rPr>
                                                </w:pPr>
                                                <w:r w:rsidRPr="00183011">
                                                  <w:rPr>
                                                    <w:rFonts w:ascii="ˎ̥" w:eastAsia="宋体" w:hAnsi="ˎ̥" w:cs="宋体"/>
                                                    <w:color w:val="000000"/>
                                                    <w:kern w:val="0"/>
                                                    <w:sz w:val="18"/>
                                                    <w:szCs w:val="18"/>
                                                  </w:rPr>
                                                  <w:pict>
                                                    <v:rect id="_x0000_i1025" style="width:0;height:1.5pt" o:hralign="center" o:hrstd="t" o:hr="t" fillcolor="#a0a0a0" stroked="f"/>
                                                  </w:pict>
                                                </w:r>
                                              </w:p>
                                            </w:tc>
                                          </w:tr>
                                          <w:tr w:rsidR="00183011" w:rsidRPr="00183011">
                                            <w:trPr>
                                              <w:trHeight w:val="600"/>
                                              <w:tblCellSpacing w:w="0" w:type="dxa"/>
                                              <w:jc w:val="center"/>
                                            </w:trPr>
                                            <w:tc>
                                              <w:tcPr>
                                                <w:tcW w:w="0" w:type="auto"/>
                                                <w:vAlign w:val="center"/>
                                                <w:hideMark/>
                                              </w:tcPr>
                                              <w:p w:rsidR="00183011" w:rsidRPr="00183011" w:rsidRDefault="00183011" w:rsidP="00183011">
                                                <w:pPr>
                                                  <w:widowControl/>
                                                  <w:spacing w:line="480" w:lineRule="auto"/>
                                                  <w:jc w:val="left"/>
                                                  <w:rPr>
                                                    <w:rFonts w:ascii="ˎ̥" w:eastAsia="宋体" w:hAnsi="ˎ̥" w:cs="宋体"/>
                                                    <w:color w:val="000000"/>
                                                    <w:kern w:val="0"/>
                                                    <w:sz w:val="18"/>
                                                    <w:szCs w:val="18"/>
                                                  </w:rPr>
                                                </w:pPr>
                                                <w:r w:rsidRPr="00183011">
                                                  <w:rPr>
                                                    <w:rFonts w:ascii="ˎ̥" w:eastAsia="宋体" w:hAnsi="ˎ̥" w:cs="宋体"/>
                                                    <w:color w:val="000000"/>
                                                    <w:kern w:val="0"/>
                                                    <w:sz w:val="18"/>
                                                    <w:szCs w:val="18"/>
                                                  </w:rPr>
                                                  <w:t> </w:t>
                                                </w:r>
                                              </w:p>
                                            </w:tc>
                                          </w:tr>
                                          <w:tr w:rsidR="00183011" w:rsidRPr="00183011">
                                            <w:trPr>
                                              <w:tblCellSpacing w:w="0" w:type="dxa"/>
                                              <w:jc w:val="center"/>
                                            </w:trPr>
                                            <w:tc>
                                              <w:tcPr>
                                                <w:tcW w:w="0" w:type="auto"/>
                                                <w:vAlign w:val="center"/>
                                                <w:hideMark/>
                                              </w:tcPr>
                                              <w:p w:rsidR="00183011" w:rsidRPr="00183011" w:rsidRDefault="00183011" w:rsidP="00183011">
                                                <w:pPr>
                                                  <w:widowControl/>
                                                  <w:spacing w:line="480" w:lineRule="auto"/>
                                                  <w:jc w:val="left"/>
                                                  <w:rPr>
                                                    <w:rFonts w:ascii="ˎ̥" w:eastAsia="宋体" w:hAnsi="ˎ̥" w:cs="宋体"/>
                                                    <w:color w:val="000000"/>
                                                    <w:kern w:val="0"/>
                                                    <w:sz w:val="18"/>
                                                    <w:szCs w:val="18"/>
                                                  </w:rPr>
                                                </w:pPr>
                                                <w:r w:rsidRPr="00183011">
                                                  <w:rPr>
                                                    <w:rFonts w:ascii="ˎ̥" w:eastAsia="宋体" w:hAnsi="ˎ̥" w:cs="宋体"/>
                                                    <w:color w:val="000000"/>
                                                    <w:kern w:val="0"/>
                                                    <w:sz w:val="18"/>
                                                    <w:szCs w:val="18"/>
                                                  </w:rPr>
                                                  <w:t> </w:t>
                                                </w:r>
                                              </w:p>
                                            </w:tc>
                                          </w:tr>
                                          <w:tr w:rsidR="00183011" w:rsidRPr="00183011">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183011" w:rsidRPr="00183011">
                                                  <w:trPr>
                                                    <w:trHeight w:val="3750"/>
                                                    <w:tblCellSpacing w:w="0" w:type="dxa"/>
                                                    <w:jc w:val="center"/>
                                                  </w:trPr>
                                                  <w:tc>
                                                    <w:tcPr>
                                                      <w:tcW w:w="0" w:type="auto"/>
                                                      <w:hideMark/>
                                                    </w:tcPr>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color w:val="000000"/>
                                                          <w:kern w:val="0"/>
                                                          <w:sz w:val="24"/>
                                                          <w:szCs w:val="24"/>
                                                        </w:rPr>
                                                      </w:pPr>
                                                      <w:r w:rsidRPr="00183011">
                                                        <w:rPr>
                                                          <w:rFonts w:ascii="宋体" w:eastAsia="宋体" w:hAnsi="宋体" w:cs="宋体" w:hint="eastAsia"/>
                                                          <w:color w:val="000000"/>
                                                          <w:kern w:val="0"/>
                                                          <w:sz w:val="24"/>
                                                          <w:szCs w:val="24"/>
                                                        </w:rPr>
                                                        <w:t xml:space="preserve">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snapToGrid w:val="0"/>
                                                          <w:color w:val="000000"/>
                                                          <w:kern w:val="0"/>
                                                          <w:sz w:val="24"/>
                                                          <w:szCs w:val="24"/>
                                                        </w:rPr>
                                                        <w:t>各县、自治县、区人民政府，高新区、临桂新区、漓江风景名胜区、经济技术开发区管委会，市直各委、办、局，中央、自治区驻桂林各单位，各企事业单位：</w:t>
                                                      </w: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snapToGrid w:val="0"/>
                                                          <w:color w:val="000000"/>
                                                          <w:kern w:val="0"/>
                                                          <w:sz w:val="24"/>
                                                          <w:szCs w:val="24"/>
                                                        </w:rPr>
                                                        <w:t>现将《桂林市促进科技创新发展实施办法》印发给你们，请认真组织实施。</w:t>
                                                      </w: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snapToGrid w:val="0"/>
                                                          <w:color w:val="000000"/>
                                                          <w:kern w:val="0"/>
                                                          <w:sz w:val="24"/>
                                                          <w:szCs w:val="24"/>
                                                        </w:rPr>
                                                        <w:t>桂林市人民政府</w:t>
                                                      </w: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snapToGrid w:val="0"/>
                                                          <w:color w:val="000000"/>
                                                          <w:kern w:val="0"/>
                                                          <w:sz w:val="24"/>
                                                          <w:szCs w:val="24"/>
                                                        </w:rPr>
                                                        <w:t>2017年6月2日</w:t>
                                                      </w: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lastRenderedPageBreak/>
                                                        <w:t> </w:t>
                                                      </w:r>
                                                    </w:p>
                                                    <w:p w:rsidR="00183011" w:rsidRPr="00183011" w:rsidRDefault="00183011" w:rsidP="00183011">
                                                      <w:pPr>
                                                        <w:widowControl/>
                                                        <w:wordWrap w:val="0"/>
                                                        <w:snapToGrid w:val="0"/>
                                                        <w:spacing w:before="100" w:beforeAutospacing="1" w:after="100" w:afterAutospacing="1" w:line="432" w:lineRule="auto"/>
                                                        <w:jc w:val="center"/>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b/>
                                                          <w:bCs/>
                                                          <w:color w:val="000000"/>
                                                          <w:kern w:val="0"/>
                                                          <w:sz w:val="32"/>
                                                          <w:szCs w:val="32"/>
                                                        </w:rPr>
                                                        <w:t>桂林市促进科技创新发展实施办法</w:t>
                                                      </w: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color w:val="000000"/>
                                                          <w:kern w:val="0"/>
                                                          <w:sz w:val="28"/>
                                                          <w:szCs w:val="28"/>
                                                        </w:rPr>
                                                        <w:t>第一条</w:t>
                                                      </w:r>
                                                      <w:r w:rsidRPr="00183011">
                                                        <w:rPr>
                                                          <w:rFonts w:ascii="宋体" w:eastAsia="宋体" w:hAnsi="宋体" w:cs="宋体" w:hint="eastAsia"/>
                                                          <w:color w:val="000000"/>
                                                          <w:kern w:val="0"/>
                                                          <w:sz w:val="24"/>
                                                          <w:szCs w:val="24"/>
                                                        </w:rPr>
                                                        <w:t> 为贯彻落实《中共桂林市委员会 桂林市人民政府关于实施创新驱动发展战略的决定》（市发〔2017〕15号）精神，加快实施创新驱动发展战略，完善科技创新体系，激发创新创业活力，结合我市实际，制定本办法。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color w:val="000000"/>
                                                          <w:kern w:val="0"/>
                                                          <w:sz w:val="28"/>
                                                          <w:szCs w:val="28"/>
                                                        </w:rPr>
                                                        <w:t>第二条</w:t>
                                                      </w:r>
                                                      <w:r w:rsidRPr="00183011">
                                                        <w:rPr>
                                                          <w:rFonts w:ascii="宋体" w:eastAsia="宋体" w:hAnsi="宋体" w:cs="宋体" w:hint="eastAsia"/>
                                                          <w:color w:val="000000"/>
                                                          <w:kern w:val="0"/>
                                                          <w:sz w:val="24"/>
                                                          <w:szCs w:val="24"/>
                                                        </w:rPr>
                                                        <w:t> 本市行政区域内从事科技创新活动的企事业单位和自然人，适用本办法。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color w:val="000000"/>
                                                          <w:kern w:val="0"/>
                                                          <w:sz w:val="28"/>
                                                          <w:szCs w:val="28"/>
                                                        </w:rPr>
                                                        <w:t>第三条</w:t>
                                                      </w:r>
                                                      <w:r w:rsidRPr="00183011">
                                                        <w:rPr>
                                                          <w:rFonts w:ascii="宋体" w:eastAsia="宋体" w:hAnsi="宋体" w:cs="宋体" w:hint="eastAsia"/>
                                                          <w:color w:val="000000"/>
                                                          <w:kern w:val="0"/>
                                                          <w:sz w:val="24"/>
                                                          <w:szCs w:val="24"/>
                                                        </w:rPr>
                                                        <w:t> 市、县区人民政府应当加强本行政区域促进科技创新发展工作的领导，统筹协调推进科技创新发展工作。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市、县区人民政府科技主管部门负责本行政区域促进科技创新发展工作的管理和监督。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其他有关部门按照各自职责做好促进科技创新发展工作。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color w:val="000000"/>
                                                          <w:kern w:val="0"/>
                                                          <w:sz w:val="28"/>
                                                          <w:szCs w:val="28"/>
                                                        </w:rPr>
                                                        <w:t>第四条</w:t>
                                                      </w:r>
                                                      <w:r w:rsidRPr="00183011">
                                                        <w:rPr>
                                                          <w:rFonts w:ascii="宋体" w:eastAsia="宋体" w:hAnsi="宋体" w:cs="宋体" w:hint="eastAsia"/>
                                                          <w:color w:val="000000"/>
                                                          <w:kern w:val="0"/>
                                                          <w:sz w:val="24"/>
                                                          <w:szCs w:val="24"/>
                                                        </w:rPr>
                                                        <w:t> 市、县区人民政府应当完善财政科技投入机制，由一次性拨款向更加注重滚动支持转变，由前期投入向更加注重后期补助转变，由零散投入向更加注重集中扶持转变。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color w:val="000000"/>
                                                          <w:kern w:val="0"/>
                                                          <w:sz w:val="28"/>
                                                          <w:szCs w:val="28"/>
                                                        </w:rPr>
                                                        <w:t>第五条</w:t>
                                                      </w:r>
                                                      <w:r w:rsidRPr="00183011">
                                                        <w:rPr>
                                                          <w:rFonts w:ascii="宋体" w:eastAsia="宋体" w:hAnsi="宋体" w:cs="宋体" w:hint="eastAsia"/>
                                                          <w:color w:val="000000"/>
                                                          <w:kern w:val="0"/>
                                                          <w:sz w:val="24"/>
                                                          <w:szCs w:val="24"/>
                                                        </w:rPr>
                                                        <w:t> 坚持“集中财力办大事”的原则，围绕本市产业发展的重点领域、重点环节，将大部分财政科技经费预算集中投向重大科学研究、重大科技攻关、重大新产品研发、重要人才引进培养、重大专利运营和国家、自治区</w:t>
                                                      </w:r>
                                                      <w:proofErr w:type="gramStart"/>
                                                      <w:r w:rsidRPr="00183011">
                                                        <w:rPr>
                                                          <w:rFonts w:ascii="宋体" w:eastAsia="宋体" w:hAnsi="宋体" w:cs="宋体" w:hint="eastAsia"/>
                                                          <w:color w:val="000000"/>
                                                          <w:kern w:val="0"/>
                                                          <w:sz w:val="24"/>
                                                          <w:szCs w:val="24"/>
                                                        </w:rPr>
                                                        <w:t>级创新</w:t>
                                                      </w:r>
                                                      <w:proofErr w:type="gramEnd"/>
                                                      <w:r w:rsidRPr="00183011">
                                                        <w:rPr>
                                                          <w:rFonts w:ascii="宋体" w:eastAsia="宋体" w:hAnsi="宋体" w:cs="宋体" w:hint="eastAsia"/>
                                                          <w:color w:val="000000"/>
                                                          <w:kern w:val="0"/>
                                                          <w:sz w:val="24"/>
                                                          <w:szCs w:val="24"/>
                                                        </w:rPr>
                                                        <w:t>平台建设。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其他资金坚持“抓大扶小”的原则，主要用于营造“双创”氛围，支持初创期科技型企业，培植发展后劲等方面。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lastRenderedPageBreak/>
                                                        <w:t xml:space="preserve">　　</w:t>
                                                      </w:r>
                                                      <w:r w:rsidRPr="00183011">
                                                        <w:rPr>
                                                          <w:rFonts w:ascii="宋体" w:eastAsia="宋体" w:hAnsi="宋体" w:cs="宋体" w:hint="eastAsia"/>
                                                          <w:color w:val="000000"/>
                                                          <w:kern w:val="0"/>
                                                          <w:sz w:val="28"/>
                                                          <w:szCs w:val="28"/>
                                                        </w:rPr>
                                                        <w:t>第六条</w:t>
                                                      </w:r>
                                                      <w:r w:rsidRPr="00183011">
                                                        <w:rPr>
                                                          <w:rFonts w:ascii="宋体" w:eastAsia="宋体" w:hAnsi="宋体" w:cs="宋体" w:hint="eastAsia"/>
                                                          <w:color w:val="000000"/>
                                                          <w:kern w:val="0"/>
                                                          <w:sz w:val="24"/>
                                                          <w:szCs w:val="24"/>
                                                        </w:rPr>
                                                        <w:t> 自2016年起，经市科技主管部门核定，对创新创业孵化平台建设采取以下支持政策：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（一）对新认定的国家级孵化器，一次性补助100万元人民币；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（二）对新认定的自治区级孵化器，一次性补助50万元人民币；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（三）对通过国家备案</w:t>
                                                      </w:r>
                                                      <w:proofErr w:type="gramStart"/>
                                                      <w:r w:rsidRPr="00183011">
                                                        <w:rPr>
                                                          <w:rFonts w:ascii="宋体" w:eastAsia="宋体" w:hAnsi="宋体" w:cs="宋体" w:hint="eastAsia"/>
                                                          <w:color w:val="000000"/>
                                                          <w:kern w:val="0"/>
                                                          <w:sz w:val="24"/>
                                                          <w:szCs w:val="24"/>
                                                        </w:rPr>
                                                        <w:t>的众创空间</w:t>
                                                      </w:r>
                                                      <w:proofErr w:type="gramEnd"/>
                                                      <w:r w:rsidRPr="00183011">
                                                        <w:rPr>
                                                          <w:rFonts w:ascii="宋体" w:eastAsia="宋体" w:hAnsi="宋体" w:cs="宋体" w:hint="eastAsia"/>
                                                          <w:color w:val="000000"/>
                                                          <w:kern w:val="0"/>
                                                          <w:sz w:val="24"/>
                                                          <w:szCs w:val="24"/>
                                                        </w:rPr>
                                                        <w:t>，一次性补助10万元人民币；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（四）对经认定或者备案的市级以上（含市级）科技企业孵化器</w:t>
                                                      </w:r>
                                                      <w:proofErr w:type="gramStart"/>
                                                      <w:r w:rsidRPr="00183011">
                                                        <w:rPr>
                                                          <w:rFonts w:ascii="宋体" w:eastAsia="宋体" w:hAnsi="宋体" w:cs="宋体" w:hint="eastAsia"/>
                                                          <w:color w:val="000000"/>
                                                          <w:kern w:val="0"/>
                                                          <w:sz w:val="24"/>
                                                          <w:szCs w:val="24"/>
                                                        </w:rPr>
                                                        <w:t>及众创空间</w:t>
                                                      </w:r>
                                                      <w:proofErr w:type="gramEnd"/>
                                                      <w:r w:rsidRPr="00183011">
                                                        <w:rPr>
                                                          <w:rFonts w:ascii="宋体" w:eastAsia="宋体" w:hAnsi="宋体" w:cs="宋体" w:hint="eastAsia"/>
                                                          <w:color w:val="000000"/>
                                                          <w:kern w:val="0"/>
                                                          <w:sz w:val="24"/>
                                                          <w:szCs w:val="24"/>
                                                        </w:rPr>
                                                        <w:t>，其运营管理机构因新建或者改扩建新增孵化面积获得所在县区、园区财政补助资金的，市本级财政再按县区、园区补助金额的1：1给予补助，每个平台补助不超过200万元人民币。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鼓励科技企业孵化器购买大型仪器设备，提高孵化服务能力。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color w:val="000000"/>
                                                          <w:kern w:val="0"/>
                                                          <w:sz w:val="28"/>
                                                          <w:szCs w:val="28"/>
                                                        </w:rPr>
                                                        <w:t>第七条</w:t>
                                                      </w:r>
                                                      <w:r w:rsidRPr="00183011">
                                                        <w:rPr>
                                                          <w:rFonts w:ascii="宋体" w:eastAsia="宋体" w:hAnsi="宋体" w:cs="宋体" w:hint="eastAsia"/>
                                                          <w:color w:val="000000"/>
                                                          <w:kern w:val="0"/>
                                                          <w:sz w:val="24"/>
                                                          <w:szCs w:val="24"/>
                                                        </w:rPr>
                                                        <w:t> 自2016年起，经市科技主管部门核定，对被认定为国家高新技术企业的采取以下支持政策：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（一）对首次通过国家认定的高新技术企业，一次性给予10万元人民币补助；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（二）对通过国家重新认定的高新技术企业，一次性给予5万元人民币补助；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（三）鼓励科技企业孵化器大力培育高新技术企业，对在孵化期间或者孵化毕业一年内被认定为高新技术企业的，给予每家5万元人民币补助。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color w:val="000000"/>
                                                          <w:kern w:val="0"/>
                                                          <w:sz w:val="28"/>
                                                          <w:szCs w:val="28"/>
                                                        </w:rPr>
                                                        <w:t>第八条</w:t>
                                                      </w:r>
                                                      <w:r w:rsidRPr="00183011">
                                                        <w:rPr>
                                                          <w:rFonts w:ascii="宋体" w:eastAsia="宋体" w:hAnsi="宋体" w:cs="宋体" w:hint="eastAsia"/>
                                                          <w:color w:val="000000"/>
                                                          <w:kern w:val="0"/>
                                                          <w:sz w:val="24"/>
                                                          <w:szCs w:val="24"/>
                                                        </w:rPr>
                                                        <w:t> 实施“瞪羚企业”培育计划。每年评选一批具有一定规模、增长速度快、创新能力强、发展前景好的“瞪羚企业”，一次性给予30—50万元人民币补助，支持其开展技术攻关、新产品研发、产学研合作、科技成果转化等创新活动。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lastRenderedPageBreak/>
                                                        <w:t xml:space="preserve">　　</w:t>
                                                      </w:r>
                                                      <w:r w:rsidRPr="00183011">
                                                        <w:rPr>
                                                          <w:rFonts w:ascii="宋体" w:eastAsia="宋体" w:hAnsi="宋体" w:cs="宋体" w:hint="eastAsia"/>
                                                          <w:color w:val="000000"/>
                                                          <w:kern w:val="0"/>
                                                          <w:sz w:val="28"/>
                                                          <w:szCs w:val="28"/>
                                                        </w:rPr>
                                                        <w:t>第九条</w:t>
                                                      </w:r>
                                                      <w:r w:rsidRPr="00183011">
                                                        <w:rPr>
                                                          <w:rFonts w:ascii="宋体" w:eastAsia="宋体" w:hAnsi="宋体" w:cs="宋体" w:hint="eastAsia"/>
                                                          <w:color w:val="000000"/>
                                                          <w:kern w:val="0"/>
                                                          <w:sz w:val="24"/>
                                                          <w:szCs w:val="24"/>
                                                        </w:rPr>
                                                        <w:t> 鼓励企业、团队和个人参加由国家各部委牵头举办的各</w:t>
                                                      </w:r>
                                                      <w:proofErr w:type="gramStart"/>
                                                      <w:r w:rsidRPr="00183011">
                                                        <w:rPr>
                                                          <w:rFonts w:ascii="宋体" w:eastAsia="宋体" w:hAnsi="宋体" w:cs="宋体" w:hint="eastAsia"/>
                                                          <w:color w:val="000000"/>
                                                          <w:kern w:val="0"/>
                                                          <w:sz w:val="24"/>
                                                          <w:szCs w:val="24"/>
                                                        </w:rPr>
                                                        <w:t>类创新</w:t>
                                                      </w:r>
                                                      <w:proofErr w:type="gramEnd"/>
                                                      <w:r w:rsidRPr="00183011">
                                                        <w:rPr>
                                                          <w:rFonts w:ascii="宋体" w:eastAsia="宋体" w:hAnsi="宋体" w:cs="宋体" w:hint="eastAsia"/>
                                                          <w:color w:val="000000"/>
                                                          <w:kern w:val="0"/>
                                                          <w:sz w:val="24"/>
                                                          <w:szCs w:val="24"/>
                                                        </w:rPr>
                                                        <w:t>创业大赛。对晋级广西赛区复赛的一次性奖励1万元人民币，晋级广西赛区决赛的一次性奖励2万元人民币，晋级全国总决赛的一次性奖励3万元人民币，在全国总决赛中获奖的一次性奖励10万元人民币。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同一项目不重复奖励，按其获得的最好成绩给予奖励。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color w:val="000000"/>
                                                          <w:kern w:val="0"/>
                                                          <w:sz w:val="28"/>
                                                          <w:szCs w:val="28"/>
                                                        </w:rPr>
                                                        <w:t>第十条</w:t>
                                                      </w:r>
                                                      <w:r w:rsidRPr="00183011">
                                                        <w:rPr>
                                                          <w:rFonts w:ascii="宋体" w:eastAsia="宋体" w:hAnsi="宋体" w:cs="宋体" w:hint="eastAsia"/>
                                                          <w:color w:val="000000"/>
                                                          <w:kern w:val="0"/>
                                                          <w:sz w:val="24"/>
                                                          <w:szCs w:val="24"/>
                                                        </w:rPr>
                                                        <w:t> 建立科技创新</w:t>
                                                      </w:r>
                                                      <w:proofErr w:type="gramStart"/>
                                                      <w:r w:rsidRPr="00183011">
                                                        <w:rPr>
                                                          <w:rFonts w:ascii="宋体" w:eastAsia="宋体" w:hAnsi="宋体" w:cs="宋体" w:hint="eastAsia"/>
                                                          <w:color w:val="000000"/>
                                                          <w:kern w:val="0"/>
                                                          <w:sz w:val="24"/>
                                                          <w:szCs w:val="24"/>
                                                        </w:rPr>
                                                        <w:t>券</w:t>
                                                      </w:r>
                                                      <w:proofErr w:type="gramEnd"/>
                                                      <w:r w:rsidRPr="00183011">
                                                        <w:rPr>
                                                          <w:rFonts w:ascii="宋体" w:eastAsia="宋体" w:hAnsi="宋体" w:cs="宋体" w:hint="eastAsia"/>
                                                          <w:color w:val="000000"/>
                                                          <w:kern w:val="0"/>
                                                          <w:sz w:val="24"/>
                                                          <w:szCs w:val="24"/>
                                                        </w:rPr>
                                                        <w:t>制度，以科技创新</w:t>
                                                      </w:r>
                                                      <w:proofErr w:type="gramStart"/>
                                                      <w:r w:rsidRPr="00183011">
                                                        <w:rPr>
                                                          <w:rFonts w:ascii="宋体" w:eastAsia="宋体" w:hAnsi="宋体" w:cs="宋体" w:hint="eastAsia"/>
                                                          <w:color w:val="000000"/>
                                                          <w:kern w:val="0"/>
                                                          <w:sz w:val="24"/>
                                                          <w:szCs w:val="24"/>
                                                        </w:rPr>
                                                        <w:t>券</w:t>
                                                      </w:r>
                                                      <w:proofErr w:type="gramEnd"/>
                                                      <w:r w:rsidRPr="00183011">
                                                        <w:rPr>
                                                          <w:rFonts w:ascii="宋体" w:eastAsia="宋体" w:hAnsi="宋体" w:cs="宋体" w:hint="eastAsia"/>
                                                          <w:color w:val="000000"/>
                                                          <w:kern w:val="0"/>
                                                          <w:sz w:val="24"/>
                                                          <w:szCs w:val="24"/>
                                                        </w:rPr>
                                                        <w:t>支持中小</w:t>
                                                      </w:r>
                                                      <w:proofErr w:type="gramStart"/>
                                                      <w:r w:rsidRPr="00183011">
                                                        <w:rPr>
                                                          <w:rFonts w:ascii="宋体" w:eastAsia="宋体" w:hAnsi="宋体" w:cs="宋体" w:hint="eastAsia"/>
                                                          <w:color w:val="000000"/>
                                                          <w:kern w:val="0"/>
                                                          <w:sz w:val="24"/>
                                                          <w:szCs w:val="24"/>
                                                        </w:rPr>
                                                        <w:t>微企业和创客</w:t>
                                                      </w:r>
                                                      <w:proofErr w:type="gramEnd"/>
                                                      <w:r w:rsidRPr="00183011">
                                                        <w:rPr>
                                                          <w:rFonts w:ascii="宋体" w:eastAsia="宋体" w:hAnsi="宋体" w:cs="宋体" w:hint="eastAsia"/>
                                                          <w:color w:val="000000"/>
                                                          <w:kern w:val="0"/>
                                                          <w:sz w:val="24"/>
                                                          <w:szCs w:val="24"/>
                                                        </w:rPr>
                                                        <w:t>向服务机构购买科技服务。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每年发放总额不低于500万元人民币的创新</w:t>
                                                      </w:r>
                                                      <w:proofErr w:type="gramStart"/>
                                                      <w:r w:rsidRPr="00183011">
                                                        <w:rPr>
                                                          <w:rFonts w:ascii="宋体" w:eastAsia="宋体" w:hAnsi="宋体" w:cs="宋体" w:hint="eastAsia"/>
                                                          <w:color w:val="000000"/>
                                                          <w:kern w:val="0"/>
                                                          <w:sz w:val="24"/>
                                                          <w:szCs w:val="24"/>
                                                        </w:rPr>
                                                        <w:t>券</w:t>
                                                      </w:r>
                                                      <w:proofErr w:type="gramEnd"/>
                                                      <w:r w:rsidRPr="00183011">
                                                        <w:rPr>
                                                          <w:rFonts w:ascii="宋体" w:eastAsia="宋体" w:hAnsi="宋体" w:cs="宋体" w:hint="eastAsia"/>
                                                          <w:color w:val="000000"/>
                                                          <w:kern w:val="0"/>
                                                          <w:sz w:val="24"/>
                                                          <w:szCs w:val="24"/>
                                                        </w:rPr>
                                                        <w:t>，用于支持中小</w:t>
                                                      </w:r>
                                                      <w:proofErr w:type="gramStart"/>
                                                      <w:r w:rsidRPr="00183011">
                                                        <w:rPr>
                                                          <w:rFonts w:ascii="宋体" w:eastAsia="宋体" w:hAnsi="宋体" w:cs="宋体" w:hint="eastAsia"/>
                                                          <w:color w:val="000000"/>
                                                          <w:kern w:val="0"/>
                                                          <w:sz w:val="24"/>
                                                          <w:szCs w:val="24"/>
                                                        </w:rPr>
                                                        <w:t>微企业和创客</w:t>
                                                      </w:r>
                                                      <w:proofErr w:type="gramEnd"/>
                                                      <w:r w:rsidRPr="00183011">
                                                        <w:rPr>
                                                          <w:rFonts w:ascii="宋体" w:eastAsia="宋体" w:hAnsi="宋体" w:cs="宋体" w:hint="eastAsia"/>
                                                          <w:color w:val="000000"/>
                                                          <w:kern w:val="0"/>
                                                          <w:sz w:val="24"/>
                                                          <w:szCs w:val="24"/>
                                                        </w:rPr>
                                                        <w:t>向驻桂林高等院校、科研机构、科技服务机构等购买研究开发、技术转移、检验检测、创业孵化、知识产权、科技咨询、科技金融、科学技术普及等科技服务，以降低中小</w:t>
                                                      </w:r>
                                                      <w:proofErr w:type="gramStart"/>
                                                      <w:r w:rsidRPr="00183011">
                                                        <w:rPr>
                                                          <w:rFonts w:ascii="宋体" w:eastAsia="宋体" w:hAnsi="宋体" w:cs="宋体" w:hint="eastAsia"/>
                                                          <w:color w:val="000000"/>
                                                          <w:kern w:val="0"/>
                                                          <w:sz w:val="24"/>
                                                          <w:szCs w:val="24"/>
                                                        </w:rPr>
                                                        <w:t>微企业和创客</w:t>
                                                      </w:r>
                                                      <w:proofErr w:type="gramEnd"/>
                                                      <w:r w:rsidRPr="00183011">
                                                        <w:rPr>
                                                          <w:rFonts w:ascii="宋体" w:eastAsia="宋体" w:hAnsi="宋体" w:cs="宋体" w:hint="eastAsia"/>
                                                          <w:color w:val="000000"/>
                                                          <w:kern w:val="0"/>
                                                          <w:sz w:val="24"/>
                                                          <w:szCs w:val="24"/>
                                                        </w:rPr>
                                                        <w:t>的创新创业成本。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color w:val="000000"/>
                                                          <w:kern w:val="0"/>
                                                          <w:sz w:val="28"/>
                                                          <w:szCs w:val="28"/>
                                                        </w:rPr>
                                                        <w:t>第十一条</w:t>
                                                      </w:r>
                                                      <w:r w:rsidRPr="00183011">
                                                        <w:rPr>
                                                          <w:rFonts w:ascii="宋体" w:eastAsia="宋体" w:hAnsi="宋体" w:cs="宋体" w:hint="eastAsia"/>
                                                          <w:color w:val="000000"/>
                                                          <w:kern w:val="0"/>
                                                          <w:sz w:val="24"/>
                                                          <w:szCs w:val="24"/>
                                                        </w:rPr>
                                                        <w:t> 自2016年起，经市科技主管部门核定，对在桂林注册的技术转移机构建设采取以下支持政策：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（一）对新认定的国家级技术转移示范机构，一次性给予50万元人民币补助；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（二）对新认定的自治区级技术转移示范机构，一次性给予25万元人民币补助；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（三）对年度实际产生技术交易额达到500万元人民币以上的新建技术转移机构，一次性给予30万元人民币补助。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snapToGrid w:val="0"/>
                                                          <w:color w:val="000000"/>
                                                          <w:kern w:val="0"/>
                                                          <w:sz w:val="28"/>
                                                          <w:szCs w:val="28"/>
                                                        </w:rPr>
                                                        <w:t>第十二条</w:t>
                                                      </w:r>
                                                      <w:r w:rsidRPr="00183011">
                                                        <w:rPr>
                                                          <w:rFonts w:ascii="宋体" w:eastAsia="宋体" w:hAnsi="宋体" w:cs="宋体" w:hint="eastAsia"/>
                                                          <w:snapToGrid w:val="0"/>
                                                          <w:color w:val="000000"/>
                                                          <w:kern w:val="0"/>
                                                          <w:sz w:val="24"/>
                                                          <w:szCs w:val="24"/>
                                                        </w:rPr>
                                                        <w:t> 鼓励技术转移机构开展科技成果交易落地桂林的活动。根据年度技术交易额，按以下标准对技术转移机构给予补助：</w:t>
                                                      </w: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lastRenderedPageBreak/>
                                                        <w:t xml:space="preserve">　　</w:t>
                                                      </w:r>
                                                      <w:r w:rsidRPr="00183011">
                                                        <w:rPr>
                                                          <w:rFonts w:ascii="宋体" w:eastAsia="宋体" w:hAnsi="宋体" w:cs="宋体" w:hint="eastAsia"/>
                                                          <w:snapToGrid w:val="0"/>
                                                          <w:color w:val="000000"/>
                                                          <w:kern w:val="0"/>
                                                          <w:sz w:val="24"/>
                                                          <w:szCs w:val="24"/>
                                                        </w:rPr>
                                                        <w:t>（一）年度技术交易额500—1000万元人民币（含1000万元人民币）的，一次性补助10万元人民币；</w:t>
                                                      </w: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snapToGrid w:val="0"/>
                                                          <w:color w:val="000000"/>
                                                          <w:kern w:val="0"/>
                                                          <w:sz w:val="24"/>
                                                          <w:szCs w:val="24"/>
                                                        </w:rPr>
                                                        <w:t>（二）年度技术交易额1000—2000万元人民币（含2000万元人民币）的，一次性补助20万元人民币；</w:t>
                                                      </w: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snapToGrid w:val="0"/>
                                                          <w:color w:val="000000"/>
                                                          <w:kern w:val="0"/>
                                                          <w:sz w:val="24"/>
                                                          <w:szCs w:val="24"/>
                                                        </w:rPr>
                                                        <w:t>（三）年度技术交易额2000万元人民币以上的，一次性补助30万元人民币。</w:t>
                                                      </w: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snapToGrid w:val="0"/>
                                                          <w:color w:val="000000"/>
                                                          <w:kern w:val="0"/>
                                                          <w:sz w:val="24"/>
                                                          <w:szCs w:val="24"/>
                                                        </w:rPr>
                                                        <w:t>每个技术转移机构每年补助不得超过50万元人民币。</w:t>
                                                      </w: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snapToGrid w:val="0"/>
                                                          <w:color w:val="000000"/>
                                                          <w:kern w:val="0"/>
                                                          <w:sz w:val="24"/>
                                                          <w:szCs w:val="24"/>
                                                        </w:rPr>
                                                        <w:t>鼓励技术交易经纪人开展科技成果落地桂林的交易活动。</w:t>
                                                      </w: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snapToGrid w:val="0"/>
                                                          <w:color w:val="000000"/>
                                                          <w:kern w:val="0"/>
                                                          <w:sz w:val="28"/>
                                                          <w:szCs w:val="28"/>
                                                        </w:rPr>
                                                        <w:t>第十三条</w:t>
                                                      </w:r>
                                                      <w:r w:rsidRPr="00183011">
                                                        <w:rPr>
                                                          <w:rFonts w:ascii="宋体" w:eastAsia="宋体" w:hAnsi="宋体" w:cs="宋体" w:hint="eastAsia"/>
                                                          <w:snapToGrid w:val="0"/>
                                                          <w:color w:val="000000"/>
                                                          <w:kern w:val="0"/>
                                                          <w:sz w:val="24"/>
                                                          <w:szCs w:val="24"/>
                                                        </w:rPr>
                                                        <w:t> 鼓励企业引进、转化科技成果。凡落户桂林并在桂林纳税的企业，以技术交易方式引进科技成果，并在桂林产业化的，根据单个技术交易额，按以下标准给予买方补助：</w:t>
                                                      </w: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snapToGrid w:val="0"/>
                                                          <w:color w:val="000000"/>
                                                          <w:kern w:val="0"/>
                                                          <w:sz w:val="24"/>
                                                          <w:szCs w:val="24"/>
                                                        </w:rPr>
                                                        <w:t>（一）单个技术交易额10—50万元人民币（含50万元人民币）的，每个一次性补助1万元人民币；</w:t>
                                                      </w: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snapToGrid w:val="0"/>
                                                          <w:color w:val="000000"/>
                                                          <w:kern w:val="0"/>
                                                          <w:sz w:val="24"/>
                                                          <w:szCs w:val="24"/>
                                                        </w:rPr>
                                                        <w:t>（二）单个技术交易额50—100万元人民币（含100万元人民币）的，每个一次性补助3万元人民币；</w:t>
                                                      </w: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snapToGrid w:val="0"/>
                                                          <w:color w:val="000000"/>
                                                          <w:kern w:val="0"/>
                                                          <w:sz w:val="24"/>
                                                          <w:szCs w:val="24"/>
                                                        </w:rPr>
                                                        <w:t>（三）单个技术交易额100—200万元人民币（含200万元人民币）的，每个一次性补助5万元人民币；</w:t>
                                                      </w: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snapToGrid w:val="0"/>
                                                          <w:color w:val="000000"/>
                                                          <w:kern w:val="0"/>
                                                          <w:sz w:val="24"/>
                                                          <w:szCs w:val="24"/>
                                                        </w:rPr>
                                                        <w:t>（四）单个技术交易额200—500万元人民币（含500万元人民币）的，每个一次性补助10万元人民币；</w:t>
                                                      </w: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lastRenderedPageBreak/>
                                                        <w:t xml:space="preserve">　　</w:t>
                                                      </w:r>
                                                      <w:r w:rsidRPr="00183011">
                                                        <w:rPr>
                                                          <w:rFonts w:ascii="宋体" w:eastAsia="宋体" w:hAnsi="宋体" w:cs="宋体" w:hint="eastAsia"/>
                                                          <w:snapToGrid w:val="0"/>
                                                          <w:color w:val="000000"/>
                                                          <w:kern w:val="0"/>
                                                          <w:sz w:val="24"/>
                                                          <w:szCs w:val="24"/>
                                                        </w:rPr>
                                                        <w:t>（五）单个技术交易额500—1000万元人民币（含1000万元人民币）的，每个一次性补助20万元人民币；</w:t>
                                                      </w: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snapToGrid w:val="0"/>
                                                          <w:color w:val="000000"/>
                                                          <w:kern w:val="0"/>
                                                          <w:sz w:val="24"/>
                                                          <w:szCs w:val="24"/>
                                                        </w:rPr>
                                                        <w:t>（六）单个技术交易额1000万元人民币以上的，每个补助30万元人民币。</w:t>
                                                      </w: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snapToGrid w:val="0"/>
                                                          <w:color w:val="000000"/>
                                                          <w:kern w:val="0"/>
                                                          <w:sz w:val="24"/>
                                                          <w:szCs w:val="24"/>
                                                        </w:rPr>
                                                        <w:t>每个买方每年补助不超过50万元人民币。</w:t>
                                                      </w: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snapToGrid w:val="0"/>
                                                          <w:color w:val="000000"/>
                                                          <w:kern w:val="0"/>
                                                          <w:sz w:val="28"/>
                                                          <w:szCs w:val="28"/>
                                                        </w:rPr>
                                                        <w:t>第十四条</w:t>
                                                      </w:r>
                                                      <w:r w:rsidRPr="00183011">
                                                        <w:rPr>
                                                          <w:rFonts w:ascii="宋体" w:eastAsia="宋体" w:hAnsi="宋体" w:cs="宋体" w:hint="eastAsia"/>
                                                          <w:snapToGrid w:val="0"/>
                                                          <w:color w:val="000000"/>
                                                          <w:kern w:val="0"/>
                                                          <w:sz w:val="24"/>
                                                          <w:szCs w:val="24"/>
                                                        </w:rPr>
                                                        <w:t> 鼓励驻桂林高校院所等企事业单位重大科技成果在桂林转化。对由桂林企业引进，两年内产业化且新增销售收入达到500万元人民币的，根据单个技术交易额，按以下标准给予卖方补助：</w:t>
                                                      </w: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（一）单个技术交易额100—200万元人民币（含200万元人民币）的，每个一次性补助5万元人民币；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（二）单个技术交易额200—500万元人民币（含500万元人民币）的，每个一次性补助10万元人民币；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（三）单个技术交易额500—1000万元人民币（含1000万元人民币）的，每个一次性补助20万元人民币；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（四）单个技术交易额1000万元人民币以上的，每个一次性补助30万元人民币。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每个卖方每年补助不超过50万元人民币。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对于技术水平领先、产业化前景广阔的特别重大的购买科技成果转化项目，按“一事一议”办法执行。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color w:val="000000"/>
                                                          <w:kern w:val="0"/>
                                                          <w:sz w:val="28"/>
                                                          <w:szCs w:val="28"/>
                                                        </w:rPr>
                                                        <w:t>第十五条</w:t>
                                                      </w:r>
                                                      <w:r w:rsidRPr="00183011">
                                                        <w:rPr>
                                                          <w:rFonts w:ascii="宋体" w:eastAsia="宋体" w:hAnsi="宋体" w:cs="宋体" w:hint="eastAsia"/>
                                                          <w:color w:val="000000"/>
                                                          <w:kern w:val="0"/>
                                                          <w:sz w:val="24"/>
                                                          <w:szCs w:val="24"/>
                                                        </w:rPr>
                                                        <w:t> 支持创</w:t>
                                                      </w:r>
                                                      <w:proofErr w:type="gramStart"/>
                                                      <w:r w:rsidRPr="00183011">
                                                        <w:rPr>
                                                          <w:rFonts w:ascii="宋体" w:eastAsia="宋体" w:hAnsi="宋体" w:cs="宋体" w:hint="eastAsia"/>
                                                          <w:color w:val="000000"/>
                                                          <w:kern w:val="0"/>
                                                          <w:sz w:val="24"/>
                                                          <w:szCs w:val="24"/>
                                                        </w:rPr>
                                                        <w:t>投机构</w:t>
                                                      </w:r>
                                                      <w:proofErr w:type="gramEnd"/>
                                                      <w:r w:rsidRPr="00183011">
                                                        <w:rPr>
                                                          <w:rFonts w:ascii="宋体" w:eastAsia="宋体" w:hAnsi="宋体" w:cs="宋体" w:hint="eastAsia"/>
                                                          <w:color w:val="000000"/>
                                                          <w:kern w:val="0"/>
                                                          <w:sz w:val="24"/>
                                                          <w:szCs w:val="24"/>
                                                        </w:rPr>
                                                        <w:t>直接投资桂林科技型企业。按其当年度新增实际投资金额给予不超过1%的补助，每家创</w:t>
                                                      </w:r>
                                                      <w:proofErr w:type="gramStart"/>
                                                      <w:r w:rsidRPr="00183011">
                                                        <w:rPr>
                                                          <w:rFonts w:ascii="宋体" w:eastAsia="宋体" w:hAnsi="宋体" w:cs="宋体" w:hint="eastAsia"/>
                                                          <w:color w:val="000000"/>
                                                          <w:kern w:val="0"/>
                                                          <w:sz w:val="24"/>
                                                          <w:szCs w:val="24"/>
                                                        </w:rPr>
                                                        <w:t>投机构</w:t>
                                                      </w:r>
                                                      <w:proofErr w:type="gramEnd"/>
                                                      <w:r w:rsidRPr="00183011">
                                                        <w:rPr>
                                                          <w:rFonts w:ascii="宋体" w:eastAsia="宋体" w:hAnsi="宋体" w:cs="宋体" w:hint="eastAsia"/>
                                                          <w:color w:val="000000"/>
                                                          <w:kern w:val="0"/>
                                                          <w:sz w:val="24"/>
                                                          <w:szCs w:val="24"/>
                                                        </w:rPr>
                                                        <w:t>每年补助金额不超过50万元人民币。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lastRenderedPageBreak/>
                                                        <w:t xml:space="preserve">　　鼓励直接投资本市孵化器内初创型科技型企业。按投资额度的10%给予创</w:t>
                                                      </w:r>
                                                      <w:proofErr w:type="gramStart"/>
                                                      <w:r w:rsidRPr="00183011">
                                                        <w:rPr>
                                                          <w:rFonts w:ascii="宋体" w:eastAsia="宋体" w:hAnsi="宋体" w:cs="宋体" w:hint="eastAsia"/>
                                                          <w:color w:val="000000"/>
                                                          <w:kern w:val="0"/>
                                                          <w:sz w:val="24"/>
                                                          <w:szCs w:val="24"/>
                                                        </w:rPr>
                                                        <w:t>投机构</w:t>
                                                      </w:r>
                                                      <w:proofErr w:type="gramEnd"/>
                                                      <w:r w:rsidRPr="00183011">
                                                        <w:rPr>
                                                          <w:rFonts w:ascii="宋体" w:eastAsia="宋体" w:hAnsi="宋体" w:cs="宋体" w:hint="eastAsia"/>
                                                          <w:color w:val="000000"/>
                                                          <w:kern w:val="0"/>
                                                          <w:sz w:val="24"/>
                                                          <w:szCs w:val="24"/>
                                                        </w:rPr>
                                                        <w:t>补助，对单个项目的补助不超过20万元人民币，单个创</w:t>
                                                      </w:r>
                                                      <w:proofErr w:type="gramStart"/>
                                                      <w:r w:rsidRPr="00183011">
                                                        <w:rPr>
                                                          <w:rFonts w:ascii="宋体" w:eastAsia="宋体" w:hAnsi="宋体" w:cs="宋体" w:hint="eastAsia"/>
                                                          <w:color w:val="000000"/>
                                                          <w:kern w:val="0"/>
                                                          <w:sz w:val="24"/>
                                                          <w:szCs w:val="24"/>
                                                        </w:rPr>
                                                        <w:t>投机构</w:t>
                                                      </w:r>
                                                      <w:proofErr w:type="gramEnd"/>
                                                      <w:r w:rsidRPr="00183011">
                                                        <w:rPr>
                                                          <w:rFonts w:ascii="宋体" w:eastAsia="宋体" w:hAnsi="宋体" w:cs="宋体" w:hint="eastAsia"/>
                                                          <w:color w:val="000000"/>
                                                          <w:kern w:val="0"/>
                                                          <w:sz w:val="24"/>
                                                          <w:szCs w:val="24"/>
                                                        </w:rPr>
                                                        <w:t>的年补助金额不超过100万元人民币。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color w:val="000000"/>
                                                          <w:kern w:val="0"/>
                                                          <w:sz w:val="28"/>
                                                          <w:szCs w:val="28"/>
                                                        </w:rPr>
                                                        <w:t>第十六条</w:t>
                                                      </w:r>
                                                      <w:r w:rsidRPr="00183011">
                                                        <w:rPr>
                                                          <w:rFonts w:ascii="宋体" w:eastAsia="宋体" w:hAnsi="宋体" w:cs="宋体" w:hint="eastAsia"/>
                                                          <w:color w:val="000000"/>
                                                          <w:kern w:val="0"/>
                                                          <w:sz w:val="24"/>
                                                          <w:szCs w:val="24"/>
                                                        </w:rPr>
                                                        <w:t> 鼓励创</w:t>
                                                      </w:r>
                                                      <w:proofErr w:type="gramStart"/>
                                                      <w:r w:rsidRPr="00183011">
                                                        <w:rPr>
                                                          <w:rFonts w:ascii="宋体" w:eastAsia="宋体" w:hAnsi="宋体" w:cs="宋体" w:hint="eastAsia"/>
                                                          <w:color w:val="000000"/>
                                                          <w:kern w:val="0"/>
                                                          <w:sz w:val="24"/>
                                                          <w:szCs w:val="24"/>
                                                        </w:rPr>
                                                        <w:t>投机构</w:t>
                                                      </w:r>
                                                      <w:proofErr w:type="gramEnd"/>
                                                      <w:r w:rsidRPr="00183011">
                                                        <w:rPr>
                                                          <w:rFonts w:ascii="宋体" w:eastAsia="宋体" w:hAnsi="宋体" w:cs="宋体" w:hint="eastAsia"/>
                                                          <w:color w:val="000000"/>
                                                          <w:kern w:val="0"/>
                                                          <w:sz w:val="24"/>
                                                          <w:szCs w:val="24"/>
                                                        </w:rPr>
                                                        <w:t>在桂林设立私</w:t>
                                                      </w:r>
                                                      <w:proofErr w:type="gramStart"/>
                                                      <w:r w:rsidRPr="00183011">
                                                        <w:rPr>
                                                          <w:rFonts w:ascii="宋体" w:eastAsia="宋体" w:hAnsi="宋体" w:cs="宋体" w:hint="eastAsia"/>
                                                          <w:color w:val="000000"/>
                                                          <w:kern w:val="0"/>
                                                          <w:sz w:val="24"/>
                                                          <w:szCs w:val="24"/>
                                                        </w:rPr>
                                                        <w:t>募股权投资</w:t>
                                                      </w:r>
                                                      <w:proofErr w:type="gramEnd"/>
                                                      <w:r w:rsidRPr="00183011">
                                                        <w:rPr>
                                                          <w:rFonts w:ascii="宋体" w:eastAsia="宋体" w:hAnsi="宋体" w:cs="宋体" w:hint="eastAsia"/>
                                                          <w:color w:val="000000"/>
                                                          <w:kern w:val="0"/>
                                                          <w:sz w:val="24"/>
                                                          <w:szCs w:val="24"/>
                                                        </w:rPr>
                                                        <w:t>基金。对年度累计募集到位资金5000万元人民币以上，且募集资金50%以上用于投资桂林初创型科技企业的创投机构，一次性给予补助25万元人民币。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color w:val="000000"/>
                                                          <w:kern w:val="0"/>
                                                          <w:sz w:val="28"/>
                                                          <w:szCs w:val="28"/>
                                                        </w:rPr>
                                                        <w:t>第十七条 </w:t>
                                                      </w:r>
                                                      <w:r w:rsidRPr="00183011">
                                                        <w:rPr>
                                                          <w:rFonts w:ascii="宋体" w:eastAsia="宋体" w:hAnsi="宋体" w:cs="宋体" w:hint="eastAsia"/>
                                                          <w:color w:val="000000"/>
                                                          <w:kern w:val="0"/>
                                                          <w:sz w:val="24"/>
                                                          <w:szCs w:val="24"/>
                                                        </w:rPr>
                                                        <w:t>鼓励金融机构开展专利质押贷款业务。按不超过审定企业专利质押贷款坏账本金损失的30%给予金融机构补助，每笔贷款损失补助不超过人民币50万元人民币。纳入风险补偿范围的专利质押贷款，其实际利率不超过同期人民银行贷款基准利率的150%。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鼓励担保公司或者保险公司为企业专利质押贷款提供担保或者保险。对担保公司或者保险公司分别给予不超过每笔贷款金额1%的担保费或者保险费补助，每个公司每年补助金额不超过20万元人民币。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color w:val="000000"/>
                                                          <w:kern w:val="0"/>
                                                          <w:sz w:val="28"/>
                                                          <w:szCs w:val="28"/>
                                                        </w:rPr>
                                                        <w:t>第十八条</w:t>
                                                      </w:r>
                                                      <w:r w:rsidRPr="00183011">
                                                        <w:rPr>
                                                          <w:rFonts w:ascii="宋体" w:eastAsia="宋体" w:hAnsi="宋体" w:cs="宋体" w:hint="eastAsia"/>
                                                          <w:color w:val="000000"/>
                                                          <w:kern w:val="0"/>
                                                          <w:sz w:val="24"/>
                                                          <w:szCs w:val="24"/>
                                                        </w:rPr>
                                                        <w:t> 鼓励企业通过专利质押贷款进行融资。对企业获得专利权质押贷款并按期正常还贷的贷款利息给予50%贴息，每个项目贴息时间最长不超过两年，每家企业每年最高贴息50万元人民币。纳入贴息范围的专利质押贷款，其实际利率不超过同期人民银行贷款基准利率的150%。 </w:t>
                                                      </w:r>
                                                    </w:p>
                                                    <w:p w:rsidR="00183011" w:rsidRPr="00183011" w:rsidRDefault="00183011" w:rsidP="00183011">
                                                      <w:pPr>
                                                        <w:widowControl/>
                                                        <w:shd w:val="clear" w:color="auto" w:fill="FFFFFF"/>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color w:val="000000"/>
                                                          <w:kern w:val="0"/>
                                                          <w:sz w:val="28"/>
                                                          <w:szCs w:val="28"/>
                                                        </w:rPr>
                                                        <w:t>第十九条</w:t>
                                                      </w:r>
                                                      <w:r w:rsidRPr="00183011">
                                                        <w:rPr>
                                                          <w:rFonts w:ascii="宋体" w:eastAsia="宋体" w:hAnsi="宋体" w:cs="宋体" w:hint="eastAsia"/>
                                                          <w:color w:val="000000"/>
                                                          <w:kern w:val="0"/>
                                                          <w:sz w:val="24"/>
                                                          <w:szCs w:val="24"/>
                                                        </w:rPr>
                                                        <w:t> 市科技主管部门会同市财政等相关部门，根据本办法制定实施细则。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color w:val="000000"/>
                                                          <w:kern w:val="0"/>
                                                          <w:sz w:val="28"/>
                                                          <w:szCs w:val="28"/>
                                                        </w:rPr>
                                                        <w:t>第二十条</w:t>
                                                      </w:r>
                                                      <w:r w:rsidRPr="00183011">
                                                        <w:rPr>
                                                          <w:rFonts w:ascii="宋体" w:eastAsia="宋体" w:hAnsi="宋体" w:cs="宋体" w:hint="eastAsia"/>
                                                          <w:color w:val="000000"/>
                                                          <w:kern w:val="0"/>
                                                          <w:sz w:val="24"/>
                                                          <w:szCs w:val="24"/>
                                                        </w:rPr>
                                                        <w:t> 各企事业单位和自然人提供虚假文件隐瞒事实或者采取行贿、恶意串通等非法手段骗取财政补助的，由市科技主管部门予以追回；构成犯罪的，依法追究刑事责任。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lastRenderedPageBreak/>
                                                        <w:t xml:space="preserve">　　</w:t>
                                                      </w:r>
                                                      <w:r w:rsidRPr="00183011">
                                                        <w:rPr>
                                                          <w:rFonts w:ascii="宋体" w:eastAsia="宋体" w:hAnsi="宋体" w:cs="宋体" w:hint="eastAsia"/>
                                                          <w:color w:val="000000"/>
                                                          <w:kern w:val="0"/>
                                                          <w:sz w:val="28"/>
                                                          <w:szCs w:val="28"/>
                                                        </w:rPr>
                                                        <w:t>第二十一条</w:t>
                                                      </w:r>
                                                      <w:r w:rsidRPr="00183011">
                                                        <w:rPr>
                                                          <w:rFonts w:ascii="宋体" w:eastAsia="宋体" w:hAnsi="宋体" w:cs="宋体" w:hint="eastAsia"/>
                                                          <w:color w:val="000000"/>
                                                          <w:kern w:val="0"/>
                                                          <w:sz w:val="24"/>
                                                          <w:szCs w:val="24"/>
                                                        </w:rPr>
                                                        <w:t> 参与促进科技创新发展补助工作的国家机关工作人员滥用职权、玩忽职守、徇私舞弊的，依法追究直接负责的主管人员和其他直接责任人员的责任；构成犯罪的，依法追究刑事责任。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w:t>
                                                      </w:r>
                                                      <w:r w:rsidRPr="00183011">
                                                        <w:rPr>
                                                          <w:rFonts w:ascii="宋体" w:eastAsia="宋体" w:hAnsi="宋体" w:cs="宋体" w:hint="eastAsia"/>
                                                          <w:color w:val="000000"/>
                                                          <w:kern w:val="0"/>
                                                          <w:sz w:val="28"/>
                                                          <w:szCs w:val="28"/>
                                                        </w:rPr>
                                                        <w:t>第二十二条</w:t>
                                                      </w:r>
                                                      <w:r w:rsidRPr="00183011">
                                                        <w:rPr>
                                                          <w:rFonts w:ascii="宋体" w:eastAsia="宋体" w:hAnsi="宋体" w:cs="宋体" w:hint="eastAsia"/>
                                                          <w:color w:val="000000"/>
                                                          <w:kern w:val="0"/>
                                                          <w:sz w:val="24"/>
                                                          <w:szCs w:val="24"/>
                                                        </w:rPr>
                                                        <w:t> 本办法自2017年6月5日起施行，有效期五年。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xml:space="preserve">　　本办法与本市其他文件规定的扶持政策属于同类型的，按照就高不就低的原则执行，不再重复享受。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napToGrid w:val="0"/>
                                                        <w:spacing w:before="100" w:beforeAutospacing="1" w:after="100" w:afterAutospacing="1" w:line="432" w:lineRule="auto"/>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w:t>
                                                      </w:r>
                                                    </w:p>
                                                    <w:p w:rsidR="00183011" w:rsidRPr="00183011" w:rsidRDefault="00183011" w:rsidP="00183011">
                                                      <w:pPr>
                                                        <w:widowControl/>
                                                        <w:wordWrap w:val="0"/>
                                                        <w:spacing w:before="100" w:beforeAutospacing="1" w:after="100" w:afterAutospacing="1" w:line="586" w:lineRule="atLeast"/>
                                                        <w:ind w:firstLine="274"/>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抄送：市委各部门，各人民团体。</w:t>
                                                      </w:r>
                                                    </w:p>
                                                    <w:p w:rsidR="00183011" w:rsidRPr="00183011" w:rsidRDefault="00183011" w:rsidP="00183011">
                                                      <w:pPr>
                                                        <w:widowControl/>
                                                        <w:wordWrap w:val="0"/>
                                                        <w:spacing w:before="100" w:beforeAutospacing="1" w:after="100" w:afterAutospacing="1" w:line="586" w:lineRule="atLeast"/>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w:t>
                                                      </w:r>
                                                      <w:r w:rsidRPr="00183011">
                                                        <w:rPr>
                                                          <w:rFonts w:ascii="宋体" w:eastAsia="宋体" w:hAnsi="宋体" w:cs="宋体" w:hint="eastAsia"/>
                                                          <w:snapToGrid w:val="0"/>
                                                          <w:color w:val="000000"/>
                                                          <w:spacing w:val="-8"/>
                                                          <w:kern w:val="0"/>
                                                          <w:sz w:val="24"/>
                                                          <w:szCs w:val="24"/>
                                                        </w:rPr>
                                                        <w:t>市人大常委会办公室，市政协办公室，市中级法院，</w:t>
                                                      </w:r>
                                                      <w:r w:rsidRPr="00183011">
                                                        <w:rPr>
                                                          <w:rFonts w:ascii="宋体" w:eastAsia="宋体" w:hAnsi="宋体" w:cs="宋体" w:hint="eastAsia"/>
                                                          <w:snapToGrid w:val="0"/>
                                                          <w:color w:val="000000"/>
                                                          <w:kern w:val="0"/>
                                                          <w:sz w:val="24"/>
                                                          <w:szCs w:val="24"/>
                                                        </w:rPr>
                                                        <w:t>市检察院</w:t>
                                                      </w:r>
                                                      <w:r w:rsidRPr="00183011">
                                                        <w:rPr>
                                                          <w:rFonts w:ascii="仿宋_GB2312" w:eastAsia="仿宋_GB2312" w:hAnsi="宋体" w:cs="宋体" w:hint="eastAsia"/>
                                                          <w:snapToGrid w:val="0"/>
                                                          <w:color w:val="000000"/>
                                                          <w:kern w:val="0"/>
                                                          <w:sz w:val="28"/>
                                                          <w:szCs w:val="28"/>
                                                        </w:rPr>
                                                        <w:t>。</w:t>
                                                      </w:r>
                                                    </w:p>
                                                    <w:p w:rsidR="00183011" w:rsidRPr="00183011" w:rsidRDefault="00183011" w:rsidP="00183011">
                                                      <w:pPr>
                                                        <w:widowControl/>
                                                        <w:wordWrap w:val="0"/>
                                                        <w:spacing w:before="100" w:beforeAutospacing="1" w:after="100" w:afterAutospacing="1" w:line="586" w:lineRule="atLeast"/>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      各民主党派桂林市委员会，市工商联。</w:t>
                                                      </w:r>
                                                    </w:p>
                                                    <w:p w:rsidR="00183011" w:rsidRPr="00183011" w:rsidRDefault="00183011" w:rsidP="00183011">
                                                      <w:pPr>
                                                        <w:widowControl/>
                                                        <w:wordWrap w:val="0"/>
                                                        <w:spacing w:before="100" w:beforeAutospacing="1" w:after="100" w:afterAutospacing="1" w:line="620" w:lineRule="atLeast"/>
                                                        <w:ind w:firstLine="280"/>
                                                        <w:jc w:val="left"/>
                                                        <w:rPr>
                                                          <w:rFonts w:ascii="宋体" w:eastAsia="宋体" w:hAnsi="宋体" w:cs="宋体" w:hint="eastAsia"/>
                                                          <w:color w:val="000000"/>
                                                          <w:kern w:val="0"/>
                                                          <w:sz w:val="24"/>
                                                          <w:szCs w:val="24"/>
                                                        </w:rPr>
                                                      </w:pPr>
                                                      <w:r w:rsidRPr="00183011">
                                                        <w:rPr>
                                                          <w:rFonts w:ascii="宋体" w:eastAsia="宋体" w:hAnsi="宋体" w:cs="宋体" w:hint="eastAsia"/>
                                                          <w:color w:val="000000"/>
                                                          <w:kern w:val="0"/>
                                                          <w:sz w:val="24"/>
                                                          <w:szCs w:val="24"/>
                                                        </w:rPr>
                                                        <w:t>桂林市人民政府办公室</w:t>
                                                      </w:r>
                                                      <w:r w:rsidRPr="00183011">
                                                        <w:rPr>
                                                          <w:rFonts w:ascii="仿宋_GB2312" w:eastAsia="仿宋_GB2312" w:hAnsi="宋体" w:cs="宋体" w:hint="eastAsia"/>
                                                          <w:color w:val="000000"/>
                                                          <w:kern w:val="0"/>
                                                          <w:sz w:val="28"/>
                                                          <w:szCs w:val="28"/>
                                                        </w:rPr>
                                                        <w:t xml:space="preserve">　</w:t>
                                                      </w:r>
                                                      <w:r w:rsidRPr="00183011">
                                                        <w:rPr>
                                                          <w:rFonts w:ascii="宋体" w:eastAsia="宋体" w:hAnsi="宋体" w:cs="宋体" w:hint="eastAsia"/>
                                                          <w:color w:val="000000"/>
                                                          <w:kern w:val="0"/>
                                                          <w:sz w:val="24"/>
                                                          <w:szCs w:val="24"/>
                                                        </w:rPr>
                                                        <w:t>                   </w:t>
                                                      </w:r>
                                                      <w:r w:rsidRPr="00183011">
                                                        <w:rPr>
                                                          <w:rFonts w:ascii="宋体" w:eastAsia="宋体" w:hAnsi="宋体" w:cs="宋体" w:hint="eastAsia"/>
                                                          <w:color w:val="000000"/>
                                                          <w:kern w:val="0"/>
                                                          <w:sz w:val="28"/>
                                                          <w:szCs w:val="28"/>
                                                        </w:rPr>
                                                        <w:t>2017</w:t>
                                                      </w:r>
                                                      <w:r w:rsidRPr="00183011">
                                                        <w:rPr>
                                                          <w:rFonts w:ascii="仿宋_GB2312" w:eastAsia="仿宋_GB2312" w:hAnsi="宋体" w:cs="宋体" w:hint="eastAsia"/>
                                                          <w:color w:val="000000"/>
                                                          <w:kern w:val="0"/>
                                                          <w:sz w:val="28"/>
                                                          <w:szCs w:val="28"/>
                                                        </w:rPr>
                                                        <w:t>年</w:t>
                                                      </w:r>
                                                      <w:r w:rsidRPr="00183011">
                                                        <w:rPr>
                                                          <w:rFonts w:ascii="宋体" w:eastAsia="宋体" w:hAnsi="宋体" w:cs="宋体" w:hint="eastAsia"/>
                                                          <w:color w:val="000000"/>
                                                          <w:kern w:val="0"/>
                                                          <w:sz w:val="28"/>
                                                          <w:szCs w:val="28"/>
                                                        </w:rPr>
                                                        <w:t>6</w:t>
                                                      </w:r>
                                                      <w:r w:rsidRPr="00183011">
                                                        <w:rPr>
                                                          <w:rFonts w:ascii="仿宋_GB2312" w:eastAsia="仿宋_GB2312" w:hAnsi="宋体" w:cs="宋体" w:hint="eastAsia"/>
                                                          <w:color w:val="000000"/>
                                                          <w:kern w:val="0"/>
                                                          <w:sz w:val="28"/>
                                                          <w:szCs w:val="28"/>
                                                        </w:rPr>
                                                        <w:t>月</w:t>
                                                      </w:r>
                                                      <w:r w:rsidRPr="00183011">
                                                        <w:rPr>
                                                          <w:rFonts w:ascii="宋体" w:eastAsia="宋体" w:hAnsi="宋体" w:cs="宋体" w:hint="eastAsia"/>
                                                          <w:color w:val="000000"/>
                                                          <w:kern w:val="0"/>
                                                          <w:sz w:val="28"/>
                                                          <w:szCs w:val="28"/>
                                                        </w:rPr>
                                                        <w:t>6</w:t>
                                                      </w:r>
                                                      <w:r w:rsidRPr="00183011">
                                                        <w:rPr>
                                                          <w:rFonts w:ascii="仿宋_GB2312" w:eastAsia="仿宋_GB2312" w:hAnsi="宋体" w:cs="宋体" w:hint="eastAsia"/>
                                                          <w:color w:val="000000"/>
                                                          <w:kern w:val="0"/>
                                                          <w:sz w:val="28"/>
                                                          <w:szCs w:val="28"/>
                                                        </w:rPr>
                                                        <w:t>日印发</w:t>
                                                      </w:r>
                                                    </w:p>
                                                  </w:tc>
                                                </w:tr>
                                              </w:tbl>
                                              <w:p w:rsidR="00183011" w:rsidRPr="00183011" w:rsidRDefault="00183011" w:rsidP="00183011">
                                                <w:pPr>
                                                  <w:widowControl/>
                                                  <w:spacing w:line="480" w:lineRule="auto"/>
                                                  <w:jc w:val="left"/>
                                                  <w:rPr>
                                                    <w:rFonts w:ascii="ˎ̥" w:eastAsia="宋体" w:hAnsi="ˎ̥" w:cs="宋体" w:hint="eastAsia"/>
                                                    <w:color w:val="000000"/>
                                                    <w:kern w:val="0"/>
                                                    <w:sz w:val="18"/>
                                                    <w:szCs w:val="18"/>
                                                  </w:rPr>
                                                </w:pPr>
                                              </w:p>
                                            </w:tc>
                                          </w:tr>
                                          <w:tr w:rsidR="00183011" w:rsidRPr="00183011">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183011" w:rsidRPr="00183011">
                                                  <w:trPr>
                                                    <w:tblCellSpacing w:w="0" w:type="dxa"/>
                                                    <w:jc w:val="center"/>
                                                  </w:trPr>
                                                  <w:tc>
                                                    <w:tcPr>
                                                      <w:tcW w:w="0" w:type="auto"/>
                                                      <w:vAlign w:val="center"/>
                                                      <w:hideMark/>
                                                    </w:tcPr>
                                                    <w:tbl>
                                                      <w:tblPr>
                                                        <w:tblW w:w="4500" w:type="pct"/>
                                                        <w:tblCellSpacing w:w="0" w:type="dxa"/>
                                                        <w:tblCellMar>
                                                          <w:top w:w="150" w:type="dxa"/>
                                                          <w:left w:w="150" w:type="dxa"/>
                                                          <w:bottom w:w="150" w:type="dxa"/>
                                                          <w:right w:w="150" w:type="dxa"/>
                                                        </w:tblCellMar>
                                                        <w:tblLook w:val="04A0" w:firstRow="1" w:lastRow="0" w:firstColumn="1" w:lastColumn="0" w:noHBand="0" w:noVBand="1"/>
                                                      </w:tblPr>
                                                      <w:tblGrid>
                                                        <w:gridCol w:w="8910"/>
                                                      </w:tblGrid>
                                                      <w:tr w:rsidR="00183011" w:rsidRPr="00183011">
                                                        <w:trPr>
                                                          <w:tblCellSpacing w:w="0" w:type="dxa"/>
                                                        </w:trPr>
                                                        <w:tc>
                                                          <w:tcPr>
                                                            <w:tcW w:w="0" w:type="auto"/>
                                                            <w:vAlign w:val="center"/>
                                                            <w:hideMark/>
                                                          </w:tcPr>
                                                          <w:p w:rsidR="00183011" w:rsidRPr="00183011" w:rsidRDefault="00183011" w:rsidP="00183011">
                                                            <w:pPr>
                                                              <w:widowControl/>
                                                              <w:spacing w:line="480" w:lineRule="auto"/>
                                                              <w:jc w:val="left"/>
                                                              <w:rPr>
                                                                <w:rFonts w:ascii="Times New Roman" w:eastAsia="Times New Roman" w:hAnsi="Times New Roman" w:cs="Times New Roman"/>
                                                                <w:kern w:val="0"/>
                                                                <w:sz w:val="20"/>
                                                                <w:szCs w:val="20"/>
                                                              </w:rPr>
                                                            </w:pPr>
                                                            <w:r w:rsidRPr="00183011">
                                                              <w:rPr>
                                                                <w:rFonts w:ascii="Times New Roman" w:eastAsia="Times New Roman" w:hAnsi="Times New Roman" w:cs="Times New Roman"/>
                                                                <w:kern w:val="0"/>
                                                                <w:sz w:val="20"/>
                                                                <w:szCs w:val="20"/>
                                                              </w:rPr>
                                                              <w:lastRenderedPageBreak/>
                                                              <w:pict/>
                                                            </w:r>
                                                          </w:p>
                                                        </w:tc>
                                                      </w:tr>
                                                      <w:tr w:rsidR="00183011" w:rsidRPr="00183011">
                                                        <w:trPr>
                                                          <w:tblCellSpacing w:w="0" w:type="dxa"/>
                                                        </w:trPr>
                                                        <w:tc>
                                                          <w:tcPr>
                                                            <w:tcW w:w="0" w:type="auto"/>
                                                            <w:vAlign w:val="center"/>
                                                            <w:hideMark/>
                                                          </w:tcPr>
                                                          <w:p w:rsidR="00183011" w:rsidRPr="00183011" w:rsidRDefault="00183011" w:rsidP="00183011">
                                                            <w:pPr>
                                                              <w:widowControl/>
                                                              <w:spacing w:line="480" w:lineRule="auto"/>
                                                              <w:jc w:val="left"/>
                                                              <w:rPr>
                                                                <w:rFonts w:ascii="Times New Roman" w:eastAsia="Times New Roman" w:hAnsi="Times New Roman" w:cs="Times New Roman"/>
                                                                <w:kern w:val="0"/>
                                                                <w:sz w:val="20"/>
                                                                <w:szCs w:val="20"/>
                                                              </w:rPr>
                                                            </w:pPr>
                                                          </w:p>
                                                        </w:tc>
                                                      </w:tr>
                                                      <w:tr w:rsidR="00183011" w:rsidRPr="00183011">
                                                        <w:trPr>
                                                          <w:tblCellSpacing w:w="0" w:type="dxa"/>
                                                        </w:trPr>
                                                        <w:tc>
                                                          <w:tcPr>
                                                            <w:tcW w:w="0" w:type="auto"/>
                                                            <w:vAlign w:val="center"/>
                                                            <w:hideMark/>
                                                          </w:tcPr>
                                                          <w:p w:rsidR="00183011" w:rsidRPr="00183011" w:rsidRDefault="00183011" w:rsidP="00183011">
                                                            <w:pPr>
                                                              <w:widowControl/>
                                                              <w:spacing w:line="480" w:lineRule="auto"/>
                                                              <w:jc w:val="left"/>
                                                              <w:rPr>
                                                                <w:rFonts w:ascii="Times New Roman" w:eastAsia="Times New Roman" w:hAnsi="Times New Roman" w:cs="Times New Roman"/>
                                                                <w:kern w:val="0"/>
                                                                <w:sz w:val="20"/>
                                                                <w:szCs w:val="20"/>
                                                              </w:rPr>
                                                            </w:pPr>
                                                          </w:p>
                                                        </w:tc>
                                                      </w:tr>
                                                    </w:tbl>
                                                    <w:p w:rsidR="00183011" w:rsidRPr="00183011" w:rsidRDefault="00183011" w:rsidP="00183011">
                                                      <w:pPr>
                                                        <w:widowControl/>
                                                        <w:spacing w:line="480" w:lineRule="auto"/>
                                                        <w:jc w:val="left"/>
                                                        <w:rPr>
                                                          <w:rFonts w:ascii="ˎ̥" w:eastAsia="宋体" w:hAnsi="ˎ̥" w:cs="宋体"/>
                                                          <w:color w:val="000000"/>
                                                          <w:kern w:val="0"/>
                                                          <w:sz w:val="18"/>
                                                          <w:szCs w:val="18"/>
                                                        </w:rPr>
                                                      </w:pPr>
                                                    </w:p>
                                                  </w:tc>
                                                </w:tr>
                                              </w:tbl>
                                              <w:p w:rsidR="00183011" w:rsidRPr="00183011" w:rsidRDefault="00183011" w:rsidP="00183011">
                                                <w:pPr>
                                                  <w:widowControl/>
                                                  <w:spacing w:line="480" w:lineRule="auto"/>
                                                  <w:jc w:val="left"/>
                                                  <w:rPr>
                                                    <w:rFonts w:ascii="ˎ̥" w:eastAsia="宋体" w:hAnsi="ˎ̥" w:cs="宋体"/>
                                                    <w:color w:val="000000"/>
                                                    <w:kern w:val="0"/>
                                                    <w:sz w:val="18"/>
                                                    <w:szCs w:val="18"/>
                                                  </w:rPr>
                                                </w:pPr>
                                              </w:p>
                                            </w:tc>
                                          </w:tr>
                                          <w:tr w:rsidR="00183011" w:rsidRPr="00183011">
                                            <w:trPr>
                                              <w:trHeight w:val="450"/>
                                              <w:tblCellSpacing w:w="0" w:type="dxa"/>
                                              <w:jc w:val="center"/>
                                            </w:trPr>
                                            <w:tc>
                                              <w:tcPr>
                                                <w:tcW w:w="0" w:type="auto"/>
                                                <w:vAlign w:val="center"/>
                                                <w:hideMark/>
                                              </w:tcPr>
                                              <w:p w:rsidR="00183011" w:rsidRPr="00183011" w:rsidRDefault="00183011" w:rsidP="00183011">
                                                <w:pPr>
                                                  <w:widowControl/>
                                                  <w:spacing w:line="480" w:lineRule="auto"/>
                                                  <w:jc w:val="left"/>
                                                  <w:rPr>
                                                    <w:rFonts w:ascii="ˎ̥" w:eastAsia="宋体" w:hAnsi="ˎ̥" w:cs="宋体"/>
                                                    <w:color w:val="000000"/>
                                                    <w:kern w:val="0"/>
                                                    <w:sz w:val="18"/>
                                                    <w:szCs w:val="18"/>
                                                  </w:rPr>
                                                </w:pPr>
                                                <w:r w:rsidRPr="00183011">
                                                  <w:rPr>
                                                    <w:rFonts w:ascii="ˎ̥" w:eastAsia="宋体" w:hAnsi="ˎ̥" w:cs="宋体"/>
                                                    <w:color w:val="000000"/>
                                                    <w:kern w:val="0"/>
                                                    <w:sz w:val="18"/>
                                                    <w:szCs w:val="18"/>
                                                  </w:rPr>
                                                  <w:lastRenderedPageBreak/>
                                                  <w:t> </w:t>
                                                </w:r>
                                              </w:p>
                                            </w:tc>
                                          </w:tr>
                                        </w:tbl>
                                        <w:p w:rsidR="00183011" w:rsidRPr="00183011" w:rsidRDefault="00183011" w:rsidP="00183011">
                                          <w:pPr>
                                            <w:widowControl/>
                                            <w:spacing w:line="480" w:lineRule="auto"/>
                                            <w:jc w:val="left"/>
                                            <w:rPr>
                                              <w:rFonts w:ascii="ˎ̥" w:eastAsia="宋体" w:hAnsi="ˎ̥" w:cs="宋体"/>
                                              <w:color w:val="000000"/>
                                              <w:kern w:val="0"/>
                                              <w:sz w:val="18"/>
                                              <w:szCs w:val="18"/>
                                            </w:rPr>
                                          </w:pPr>
                                        </w:p>
                                      </w:tc>
                                    </w:tr>
                                  </w:tbl>
                                  <w:p w:rsidR="00183011" w:rsidRPr="00183011" w:rsidRDefault="00183011" w:rsidP="00183011">
                                    <w:pPr>
                                      <w:widowControl/>
                                      <w:spacing w:line="480" w:lineRule="auto"/>
                                      <w:jc w:val="left"/>
                                      <w:rPr>
                                        <w:rFonts w:ascii="ˎ̥" w:eastAsia="宋体" w:hAnsi="ˎ̥" w:cs="宋体"/>
                                        <w:color w:val="000000"/>
                                        <w:kern w:val="0"/>
                                        <w:sz w:val="18"/>
                                        <w:szCs w:val="18"/>
                                      </w:rPr>
                                    </w:pPr>
                                  </w:p>
                                </w:tc>
                              </w:tr>
                            </w:tbl>
                            <w:p w:rsidR="00183011" w:rsidRPr="00183011" w:rsidRDefault="00183011" w:rsidP="00183011">
                              <w:pPr>
                                <w:widowControl/>
                                <w:jc w:val="left"/>
                                <w:rPr>
                                  <w:rFonts w:ascii="ˎ̥" w:eastAsia="宋体" w:hAnsi="ˎ̥" w:cs="宋体"/>
                                  <w:color w:val="000000"/>
                                  <w:kern w:val="0"/>
                                  <w:sz w:val="18"/>
                                  <w:szCs w:val="18"/>
                                </w:rPr>
                              </w:pPr>
                            </w:p>
                          </w:tc>
                          <w:tc>
                            <w:tcPr>
                              <w:tcW w:w="240" w:type="dxa"/>
                              <w:vAlign w:val="center"/>
                              <w:hideMark/>
                            </w:tcPr>
                            <w:p w:rsidR="00183011" w:rsidRPr="00183011" w:rsidRDefault="00183011" w:rsidP="00183011">
                              <w:pPr>
                                <w:widowControl/>
                                <w:spacing w:line="480" w:lineRule="auto"/>
                                <w:jc w:val="left"/>
                                <w:rPr>
                                  <w:rFonts w:ascii="ˎ̥" w:eastAsia="宋体" w:hAnsi="ˎ̥" w:cs="宋体"/>
                                  <w:color w:val="000000"/>
                                  <w:kern w:val="0"/>
                                  <w:sz w:val="18"/>
                                  <w:szCs w:val="18"/>
                                </w:rPr>
                              </w:pPr>
                              <w:r w:rsidRPr="00183011">
                                <w:rPr>
                                  <w:rFonts w:ascii="ˎ̥" w:eastAsia="宋体" w:hAnsi="ˎ̥" w:cs="宋体"/>
                                  <w:color w:val="000000"/>
                                  <w:kern w:val="0"/>
                                  <w:sz w:val="18"/>
                                  <w:szCs w:val="18"/>
                                </w:rPr>
                                <w:lastRenderedPageBreak/>
                                <w:t xml:space="preserve">　</w:t>
                              </w:r>
                            </w:p>
                          </w:tc>
                        </w:tr>
                      </w:tbl>
                      <w:p w:rsidR="00183011" w:rsidRPr="00183011" w:rsidRDefault="00183011" w:rsidP="00183011">
                        <w:pPr>
                          <w:widowControl/>
                          <w:spacing w:line="480" w:lineRule="auto"/>
                          <w:jc w:val="left"/>
                          <w:rPr>
                            <w:rFonts w:ascii="ˎ̥" w:eastAsia="宋体" w:hAnsi="ˎ̥" w:cs="宋体"/>
                            <w:color w:val="000000"/>
                            <w:kern w:val="0"/>
                            <w:sz w:val="18"/>
                            <w:szCs w:val="18"/>
                          </w:rPr>
                        </w:pPr>
                      </w:p>
                    </w:tc>
                  </w:tr>
                  <w:tr w:rsidR="00183011" w:rsidRPr="00183011">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40"/>
                          <w:gridCol w:w="13020"/>
                          <w:gridCol w:w="240"/>
                        </w:tblGrid>
                        <w:tr w:rsidR="00183011" w:rsidRPr="00183011">
                          <w:trPr>
                            <w:tblCellSpacing w:w="0" w:type="dxa"/>
                          </w:trPr>
                          <w:tc>
                            <w:tcPr>
                              <w:tcW w:w="240" w:type="dxa"/>
                              <w:vAlign w:val="center"/>
                              <w:hideMark/>
                            </w:tcPr>
                            <w:p w:rsidR="00183011" w:rsidRPr="00183011" w:rsidRDefault="00183011" w:rsidP="00183011">
                              <w:pPr>
                                <w:widowControl/>
                                <w:spacing w:line="480" w:lineRule="auto"/>
                                <w:jc w:val="left"/>
                                <w:rPr>
                                  <w:rFonts w:ascii="ˎ̥" w:eastAsia="宋体" w:hAnsi="ˎ̥" w:cs="宋体"/>
                                  <w:color w:val="000000"/>
                                  <w:kern w:val="0"/>
                                  <w:sz w:val="18"/>
                                  <w:szCs w:val="18"/>
                                </w:rPr>
                              </w:pPr>
                              <w:r w:rsidRPr="00183011">
                                <w:rPr>
                                  <w:rFonts w:ascii="ˎ̥" w:eastAsia="宋体" w:hAnsi="ˎ̥" w:cs="宋体" w:hint="eastAsia"/>
                                  <w:noProof/>
                                  <w:color w:val="000000"/>
                                  <w:kern w:val="0"/>
                                  <w:sz w:val="18"/>
                                  <w:szCs w:val="18"/>
                                </w:rPr>
                                <w:lastRenderedPageBreak/>
                                <w:drawing>
                                  <wp:inline distT="0" distB="0" distL="0" distR="0">
                                    <wp:extent cx="149225" cy="158750"/>
                                    <wp:effectExtent l="0" t="0" r="3175" b="0"/>
                                    <wp:docPr id="2" name="图片 2" descr="http://www.guilin.gov.cn/images/fileview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uilin.gov.cn/images/fileview_1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58750"/>
                                            </a:xfrm>
                                            <a:prstGeom prst="rect">
                                              <a:avLst/>
                                            </a:prstGeom>
                                            <a:noFill/>
                                            <a:ln>
                                              <a:noFill/>
                                            </a:ln>
                                          </pic:spPr>
                                        </pic:pic>
                                      </a:graphicData>
                                    </a:graphic>
                                  </wp:inline>
                                </w:drawing>
                              </w:r>
                            </w:p>
                          </w:tc>
                          <w:tc>
                            <w:tcPr>
                              <w:tcW w:w="13020" w:type="dxa"/>
                              <w:vAlign w:val="center"/>
                              <w:hideMark/>
                            </w:tcPr>
                            <w:p w:rsidR="00183011" w:rsidRPr="00183011" w:rsidRDefault="00183011" w:rsidP="00183011">
                              <w:pPr>
                                <w:widowControl/>
                                <w:spacing w:line="480" w:lineRule="auto"/>
                                <w:jc w:val="left"/>
                                <w:rPr>
                                  <w:rFonts w:ascii="ˎ̥" w:eastAsia="宋体" w:hAnsi="ˎ̥" w:cs="宋体"/>
                                  <w:color w:val="000000"/>
                                  <w:kern w:val="0"/>
                                  <w:sz w:val="18"/>
                                  <w:szCs w:val="18"/>
                                </w:rPr>
                              </w:pPr>
                            </w:p>
                          </w:tc>
                          <w:tc>
                            <w:tcPr>
                              <w:tcW w:w="0" w:type="auto"/>
                              <w:vAlign w:val="center"/>
                              <w:hideMark/>
                            </w:tcPr>
                            <w:p w:rsidR="00183011" w:rsidRPr="00183011" w:rsidRDefault="00183011" w:rsidP="00183011">
                              <w:pPr>
                                <w:widowControl/>
                                <w:spacing w:line="480" w:lineRule="auto"/>
                                <w:jc w:val="left"/>
                                <w:rPr>
                                  <w:rFonts w:ascii="ˎ̥" w:eastAsia="宋体" w:hAnsi="ˎ̥" w:cs="宋体"/>
                                  <w:color w:val="000000"/>
                                  <w:kern w:val="0"/>
                                  <w:sz w:val="18"/>
                                  <w:szCs w:val="18"/>
                                </w:rPr>
                              </w:pPr>
                              <w:r w:rsidRPr="00183011">
                                <w:rPr>
                                  <w:rFonts w:ascii="ˎ̥" w:eastAsia="宋体" w:hAnsi="ˎ̥" w:cs="宋体" w:hint="eastAsia"/>
                                  <w:noProof/>
                                  <w:color w:val="000000"/>
                                  <w:kern w:val="0"/>
                                  <w:sz w:val="18"/>
                                  <w:szCs w:val="18"/>
                                </w:rPr>
                                <w:drawing>
                                  <wp:inline distT="0" distB="0" distL="0" distR="0">
                                    <wp:extent cx="149225" cy="158750"/>
                                    <wp:effectExtent l="0" t="0" r="3175" b="0"/>
                                    <wp:docPr id="1" name="图片 1" descr="http://www.guilin.gov.cn/images/fileview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uilin.gov.cn/images/fileview_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25" cy="158750"/>
                                            </a:xfrm>
                                            <a:prstGeom prst="rect">
                                              <a:avLst/>
                                            </a:prstGeom>
                                            <a:noFill/>
                                            <a:ln>
                                              <a:noFill/>
                                            </a:ln>
                                          </pic:spPr>
                                        </pic:pic>
                                      </a:graphicData>
                                    </a:graphic>
                                  </wp:inline>
                                </w:drawing>
                              </w:r>
                            </w:p>
                          </w:tc>
                        </w:tr>
                      </w:tbl>
                      <w:p w:rsidR="00183011" w:rsidRPr="00183011" w:rsidRDefault="00183011" w:rsidP="00183011">
                        <w:pPr>
                          <w:widowControl/>
                          <w:spacing w:line="480" w:lineRule="auto"/>
                          <w:jc w:val="left"/>
                          <w:rPr>
                            <w:rFonts w:ascii="ˎ̥" w:eastAsia="宋体" w:hAnsi="ˎ̥" w:cs="宋体"/>
                            <w:color w:val="000000"/>
                            <w:kern w:val="0"/>
                            <w:sz w:val="18"/>
                            <w:szCs w:val="18"/>
                          </w:rPr>
                        </w:pPr>
                      </w:p>
                    </w:tc>
                  </w:tr>
                </w:tbl>
                <w:p w:rsidR="00183011" w:rsidRPr="00183011" w:rsidRDefault="00183011" w:rsidP="00183011">
                  <w:pPr>
                    <w:widowControl/>
                    <w:spacing w:line="480" w:lineRule="auto"/>
                    <w:jc w:val="left"/>
                    <w:rPr>
                      <w:rFonts w:ascii="ˎ̥" w:eastAsia="宋体" w:hAnsi="ˎ̥" w:cs="宋体"/>
                      <w:color w:val="000000"/>
                      <w:kern w:val="0"/>
                      <w:sz w:val="18"/>
                      <w:szCs w:val="18"/>
                    </w:rPr>
                  </w:pPr>
                </w:p>
              </w:tc>
            </w:tr>
          </w:tbl>
          <w:p w:rsidR="00183011" w:rsidRPr="00183011" w:rsidRDefault="00183011" w:rsidP="00183011">
            <w:pPr>
              <w:widowControl/>
              <w:spacing w:line="480" w:lineRule="auto"/>
              <w:jc w:val="center"/>
              <w:rPr>
                <w:rFonts w:ascii="ˎ̥" w:eastAsia="宋体" w:hAnsi="ˎ̥" w:cs="宋体"/>
                <w:color w:val="000000"/>
                <w:kern w:val="0"/>
                <w:sz w:val="18"/>
                <w:szCs w:val="18"/>
              </w:rPr>
            </w:pPr>
          </w:p>
        </w:tc>
      </w:tr>
      <w:tr w:rsidR="00183011" w:rsidRPr="00183011" w:rsidTr="00183011">
        <w:trPr>
          <w:trHeight w:val="30"/>
          <w:tblCellSpacing w:w="0" w:type="dxa"/>
          <w:jc w:val="center"/>
        </w:trPr>
        <w:tc>
          <w:tcPr>
            <w:tcW w:w="0" w:type="auto"/>
            <w:shd w:val="clear" w:color="auto" w:fill="CCCCCC"/>
            <w:vAlign w:val="center"/>
            <w:hideMark/>
          </w:tcPr>
          <w:p w:rsidR="00183011" w:rsidRPr="00183011" w:rsidRDefault="00183011" w:rsidP="00183011">
            <w:pPr>
              <w:widowControl/>
              <w:spacing w:line="480" w:lineRule="auto"/>
              <w:jc w:val="left"/>
              <w:rPr>
                <w:rFonts w:ascii="ˎ̥" w:eastAsia="宋体" w:hAnsi="ˎ̥" w:cs="宋体"/>
                <w:color w:val="000000"/>
                <w:kern w:val="0"/>
                <w:sz w:val="18"/>
                <w:szCs w:val="18"/>
              </w:rPr>
            </w:pPr>
            <w:r w:rsidRPr="00183011">
              <w:rPr>
                <w:rFonts w:ascii="ˎ̥" w:eastAsia="宋体" w:hAnsi="ˎ̥" w:cs="宋体"/>
                <w:color w:val="000000"/>
                <w:kern w:val="0"/>
                <w:sz w:val="18"/>
                <w:szCs w:val="18"/>
              </w:rPr>
              <w:lastRenderedPageBreak/>
              <w:t xml:space="preserve">　</w:t>
            </w:r>
          </w:p>
        </w:tc>
      </w:tr>
    </w:tbl>
    <w:p w:rsidR="0056452B" w:rsidRDefault="0056452B">
      <w:bookmarkStart w:id="0" w:name="_GoBack"/>
      <w:bookmarkEnd w:id="0"/>
    </w:p>
    <w:sectPr w:rsidR="005645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E89"/>
    <w:rsid w:val="00183011"/>
    <w:rsid w:val="0056452B"/>
    <w:rsid w:val="00B84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100EE-0B7E-415A-B7CD-86722986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301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830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515303">
      <w:bodyDiv w:val="1"/>
      <w:marLeft w:val="0"/>
      <w:marRight w:val="0"/>
      <w:marTop w:val="0"/>
      <w:marBottom w:val="0"/>
      <w:divBdr>
        <w:top w:val="none" w:sz="0" w:space="0" w:color="auto"/>
        <w:left w:val="none" w:sz="0" w:space="0" w:color="auto"/>
        <w:bottom w:val="none" w:sz="0" w:space="0" w:color="auto"/>
        <w:right w:val="none" w:sz="0" w:space="0" w:color="auto"/>
      </w:divBdr>
      <w:divsChild>
        <w:div w:id="1307279033">
          <w:marLeft w:val="0"/>
          <w:marRight w:val="0"/>
          <w:marTop w:val="0"/>
          <w:marBottom w:val="0"/>
          <w:divBdr>
            <w:top w:val="none" w:sz="0" w:space="0" w:color="auto"/>
            <w:left w:val="none" w:sz="0" w:space="0" w:color="auto"/>
            <w:bottom w:val="none" w:sz="0" w:space="0" w:color="auto"/>
            <w:right w:val="none" w:sz="0" w:space="0" w:color="auto"/>
          </w:divBdr>
          <w:divsChild>
            <w:div w:id="1896693856">
              <w:marLeft w:val="0"/>
              <w:marRight w:val="0"/>
              <w:marTop w:val="0"/>
              <w:marBottom w:val="0"/>
              <w:divBdr>
                <w:top w:val="none" w:sz="0" w:space="0" w:color="auto"/>
                <w:left w:val="none" w:sz="0" w:space="0" w:color="auto"/>
                <w:bottom w:val="none" w:sz="0" w:space="0" w:color="auto"/>
                <w:right w:val="none" w:sz="0" w:space="0" w:color="auto"/>
              </w:divBdr>
              <w:divsChild>
                <w:div w:id="628509554">
                  <w:marLeft w:val="0"/>
                  <w:marRight w:val="0"/>
                  <w:marTop w:val="0"/>
                  <w:marBottom w:val="0"/>
                  <w:divBdr>
                    <w:top w:val="none" w:sz="0" w:space="0" w:color="auto"/>
                    <w:left w:val="none" w:sz="0" w:space="0" w:color="auto"/>
                    <w:bottom w:val="none" w:sz="0" w:space="0" w:color="auto"/>
                    <w:right w:val="none" w:sz="0" w:space="0" w:color="auto"/>
                  </w:divBdr>
                  <w:divsChild>
                    <w:div w:id="714818188">
                      <w:marLeft w:val="0"/>
                      <w:marRight w:val="0"/>
                      <w:marTop w:val="0"/>
                      <w:marBottom w:val="0"/>
                      <w:divBdr>
                        <w:top w:val="single" w:sz="12" w:space="1" w:color="auto"/>
                        <w:left w:val="none" w:sz="0" w:space="0" w:color="auto"/>
                        <w:bottom w:val="none" w:sz="0" w:space="0" w:color="auto"/>
                        <w:right w:val="none" w:sz="0" w:space="0" w:color="auto"/>
                      </w:divBdr>
                    </w:div>
                    <w:div w:id="278995611">
                      <w:marLeft w:val="0"/>
                      <w:marRight w:val="0"/>
                      <w:marTop w:val="0"/>
                      <w:marBottom w:val="0"/>
                      <w:divBdr>
                        <w:top w:val="single" w:sz="8" w:space="1" w:color="auto"/>
                        <w:left w:val="none" w:sz="0" w:space="0" w:color="auto"/>
                        <w:bottom w:val="single" w:sz="12" w:space="1"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2018-05-07T10:27:00Z</dcterms:created>
  <dcterms:modified xsi:type="dcterms:W3CDTF">2018-05-07T10:27:00Z</dcterms:modified>
</cp:coreProperties>
</file>