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800" w:type="dxa"/>
        <w:jc w:val="center"/>
        <w:tblCellSpacing w:w="0" w:type="dxa"/>
        <w:tblInd w:w="-2747" w:type="dxa"/>
        <w:shd w:val="clear" w:color="auto" w:fill="FFFFFF"/>
        <w:tblLayout w:type="fixed"/>
        <w:tblCellMar>
          <w:top w:w="0" w:type="dxa"/>
          <w:left w:w="0" w:type="dxa"/>
          <w:bottom w:w="0" w:type="dxa"/>
          <w:right w:w="0" w:type="dxa"/>
        </w:tblCellMar>
      </w:tblPr>
      <w:tblGrid>
        <w:gridCol w:w="13800"/>
      </w:tblGrid>
      <w:tr>
        <w:tblPrEx>
          <w:shd w:val="clear" w:color="auto" w:fill="FFFFFF"/>
          <w:tblLayout w:type="fixed"/>
          <w:tblCellMar>
            <w:top w:w="0" w:type="dxa"/>
            <w:left w:w="0" w:type="dxa"/>
            <w:bottom w:w="0" w:type="dxa"/>
            <w:right w:w="0" w:type="dxa"/>
          </w:tblCellMar>
        </w:tblPrEx>
        <w:trPr>
          <w:tblCellSpacing w:w="0" w:type="dxa"/>
          <w:jc w:val="center"/>
        </w:trPr>
        <w:tc>
          <w:tcPr>
            <w:tcW w:w="13800" w:type="dxa"/>
            <w:shd w:val="clear" w:color="auto" w:fill="FFFFFF"/>
            <w:vAlign w:val="top"/>
          </w:tcPr>
          <w:tbl>
            <w:tblPr>
              <w:tblW w:w="13260" w:type="dxa"/>
              <w:jc w:val="center"/>
              <w:tblCellSpacing w:w="0" w:type="dxa"/>
              <w:tblInd w:w="270" w:type="dxa"/>
              <w:shd w:val="clear"/>
              <w:tblLayout w:type="fixed"/>
              <w:tblCellMar>
                <w:top w:w="0" w:type="dxa"/>
                <w:left w:w="0" w:type="dxa"/>
                <w:bottom w:w="0" w:type="dxa"/>
                <w:right w:w="0" w:type="dxa"/>
              </w:tblCellMar>
            </w:tblPr>
            <w:tblGrid>
              <w:gridCol w:w="13260"/>
            </w:tblGrid>
            <w:tr>
              <w:tblPrEx>
                <w:tblLayout w:type="fixed"/>
                <w:tblCellMar>
                  <w:top w:w="0" w:type="dxa"/>
                  <w:left w:w="0" w:type="dxa"/>
                  <w:bottom w:w="0" w:type="dxa"/>
                  <w:right w:w="0" w:type="dxa"/>
                </w:tblCellMar>
              </w:tblPrEx>
              <w:trPr>
                <w:tblCellSpacing w:w="0" w:type="dxa"/>
                <w:jc w:val="center"/>
              </w:trPr>
              <w:tc>
                <w:tcPr>
                  <w:tcW w:w="1326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Fonts w:hint="eastAsia" w:ascii="宋体" w:hAnsi="宋体" w:eastAsia="宋体" w:cs="宋体"/>
                      <w:sz w:val="21"/>
                      <w:szCs w:val="21"/>
                      <w:bdr w:val="none" w:color="auto" w:sz="0" w:space="0"/>
                    </w:rPr>
                    <w:drawing>
                      <wp:inline distT="0" distB="0" distL="114300" distR="114300">
                        <wp:extent cx="304800" cy="304800"/>
                        <wp:effectExtent l="0" t="0" r="0" b="0"/>
                        <wp:docPr id="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tc>
            </w:tr>
          </w:tbl>
          <w:p>
            <w:pPr>
              <w:jc w:val="left"/>
              <w:rPr>
                <w:rFonts w:hint="eastAsia" w:ascii="宋体" w:hAnsi="宋体" w:eastAsia="宋体" w:cs="宋体"/>
                <w:i w:val="0"/>
                <w:caps w:val="0"/>
                <w:color w:val="333333"/>
                <w:spacing w:val="0"/>
                <w:sz w:val="18"/>
                <w:szCs w:val="18"/>
              </w:rPr>
            </w:pPr>
          </w:p>
        </w:tc>
      </w:tr>
      <w:tr>
        <w:tblPrEx>
          <w:tblLayout w:type="fixed"/>
          <w:tblCellMar>
            <w:top w:w="0" w:type="dxa"/>
            <w:left w:w="0" w:type="dxa"/>
            <w:bottom w:w="0" w:type="dxa"/>
            <w:right w:w="0" w:type="dxa"/>
          </w:tblCellMar>
        </w:tblPrEx>
        <w:trPr>
          <w:tblCellSpacing w:w="0" w:type="dxa"/>
          <w:jc w:val="center"/>
        </w:trPr>
        <w:tc>
          <w:tcPr>
            <w:tcW w:w="1380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333333"/>
                <w:spacing w:val="0"/>
                <w:sz w:val="20"/>
                <w:szCs w:val="20"/>
              </w:rPr>
            </w:pPr>
            <w:r>
              <w:rPr>
                <w:rFonts w:hint="eastAsia" w:ascii="宋体" w:hAnsi="宋体" w:eastAsia="宋体" w:cs="宋体"/>
                <w:i w:val="0"/>
                <w:caps w:val="0"/>
                <w:color w:val="333333"/>
                <w:spacing w:val="0"/>
                <w:kern w:val="0"/>
                <w:sz w:val="20"/>
                <w:szCs w:val="20"/>
                <w:bdr w:val="none" w:color="auto" w:sz="0" w:space="0"/>
                <w:lang w:val="en-US" w:eastAsia="zh-CN" w:bidi="ar"/>
              </w:rPr>
              <w:t>睢政发〔2014〕15号</w:t>
            </w:r>
          </w:p>
        </w:tc>
      </w:tr>
      <w:tr>
        <w:tblPrEx>
          <w:tblLayout w:type="fixed"/>
          <w:tblCellMar>
            <w:top w:w="0" w:type="dxa"/>
            <w:left w:w="0" w:type="dxa"/>
            <w:bottom w:w="0" w:type="dxa"/>
            <w:right w:w="0" w:type="dxa"/>
          </w:tblCellMar>
        </w:tblPrEx>
        <w:trPr>
          <w:tblCellSpacing w:w="0" w:type="dxa"/>
          <w:jc w:val="center"/>
        </w:trPr>
        <w:tc>
          <w:tcPr>
            <w:tcW w:w="13800" w:type="dxa"/>
            <w:shd w:val="clear" w:color="auto" w:fill="FFFFFF"/>
            <w:vAlign w:val="center"/>
          </w:tcPr>
          <w:p>
            <w:pPr>
              <w:keepNext w:val="0"/>
              <w:keepLines w:val="0"/>
              <w:widowControl/>
              <w:suppressLineNumbers w:val="0"/>
              <w:pBdr>
                <w:top w:val="single" w:color="FF0000" w:sz="12" w:space="0"/>
                <w:left w:val="single" w:color="FF0000" w:sz="12" w:space="0"/>
                <w:bottom w:val="single" w:color="FF0000" w:sz="12" w:space="0"/>
                <w:right w:val="single" w:color="FF0000" w:sz="12" w:space="0"/>
              </w:pBdr>
              <w:spacing w:before="0" w:beforeAutospacing="0" w:after="0" w:afterAutospacing="0"/>
              <w:ind w:left="0" w:right="0"/>
              <w:jc w:val="center"/>
            </w:pPr>
            <w:r>
              <w:rPr>
                <w:sz w:val="24"/>
                <w:szCs w:val="24"/>
              </w:rPr>
              <w:pict>
                <v:rect id="_x0000_i1028" o:spt="1" style="height:1.5pt;width:690pt;" fillcolor="#A0A0A0" filled="t" stroked="f" coordsize="21600,21600" o:hr="t" o:hrstd="t" o:hralign="center">
                  <v:path/>
                  <v:fill on="t" focussize="0,0"/>
                  <v:stroke on="f"/>
                  <v:imagedata o:title=""/>
                  <o:lock v:ext="edit"/>
                  <w10:wrap type="none"/>
                  <w10:anchorlock/>
                </v:rect>
              </w:pic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60" w:lineRule="atLeast"/>
        <w:ind w:left="0" w:right="0" w:firstLine="215"/>
        <w:jc w:val="center"/>
        <w:rPr>
          <w:rFonts w:hint="eastAsia" w:ascii="宋体" w:hAnsi="宋体" w:eastAsia="宋体" w:cs="宋体"/>
          <w:i w:val="0"/>
          <w:caps w:val="0"/>
          <w:color w:val="000000"/>
          <w:spacing w:val="0"/>
          <w:sz w:val="24"/>
          <w:szCs w:val="24"/>
        </w:rPr>
      </w:pPr>
      <w:bookmarkStart w:id="0" w:name="_GoBack"/>
      <w:r>
        <w:rPr>
          <w:rFonts w:ascii="方正大标宋简体" w:hAnsi="方正大标宋简体" w:eastAsia="方正大标宋简体" w:cs="方正大标宋简体"/>
          <w:i w:val="0"/>
          <w:caps w:val="0"/>
          <w:color w:val="000000"/>
          <w:spacing w:val="0"/>
          <w:sz w:val="44"/>
          <w:szCs w:val="44"/>
          <w:bdr w:val="none" w:color="auto" w:sz="0" w:space="0"/>
          <w:shd w:val="clear" w:fill="FFFFFF"/>
        </w:rPr>
        <w:t>县政府关于加快推动科技资源集聚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60" w:lineRule="atLeast"/>
        <w:ind w:left="0" w:right="0" w:firstLine="215"/>
        <w:jc w:val="center"/>
        <w:rPr>
          <w:rFonts w:hint="eastAsia" w:ascii="宋体" w:hAnsi="宋体" w:eastAsia="宋体" w:cs="宋体"/>
          <w:i w:val="0"/>
          <w:caps w:val="0"/>
          <w:color w:val="000000"/>
          <w:spacing w:val="0"/>
          <w:sz w:val="24"/>
          <w:szCs w:val="24"/>
        </w:rPr>
      </w:pPr>
      <w:r>
        <w:rPr>
          <w:rFonts w:hint="default" w:ascii="方正大标宋简体" w:hAnsi="方正大标宋简体" w:eastAsia="方正大标宋简体" w:cs="方正大标宋简体"/>
          <w:i w:val="0"/>
          <w:caps w:val="0"/>
          <w:color w:val="000000"/>
          <w:spacing w:val="0"/>
          <w:sz w:val="44"/>
          <w:szCs w:val="44"/>
          <w:bdr w:val="none" w:color="auto" w:sz="0" w:space="0"/>
          <w:shd w:val="clear" w:fill="FFFFFF"/>
        </w:rPr>
        <w:t>助推睢宁经济发展的意见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60" w:lineRule="atLeast"/>
        <w:ind w:left="0" w:right="0" w:firstLine="215"/>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Times New Roman" w:hAnsi="Times New Roman" w:cs="Times New Roman"/>
          <w:i w:val="0"/>
          <w:caps w:val="0"/>
          <w:color w:val="000000"/>
          <w:spacing w:val="0"/>
          <w:sz w:val="21"/>
          <w:szCs w:val="21"/>
        </w:rPr>
      </w:pPr>
      <w:r>
        <w:rPr>
          <w:rFonts w:ascii="仿宋_GB2312" w:hAnsi="Times New Roman" w:eastAsia="仿宋_GB2312" w:cs="仿宋_GB2312"/>
          <w:i w:val="0"/>
          <w:caps w:val="0"/>
          <w:color w:val="000000"/>
          <w:spacing w:val="0"/>
          <w:sz w:val="32"/>
          <w:szCs w:val="32"/>
          <w:bdr w:val="none" w:color="auto" w:sz="0" w:space="0"/>
          <w:shd w:val="clear" w:fill="FFFFFF"/>
        </w:rPr>
        <w:t>各镇人民政府，县各园区管委会，县各委办局（公司），县各直属单位：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4"/>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为进一步推进科技进步与创新，提升自主创新能力和水平，推动产业结构转型升级，根据《省政府办公厅关于加快推动科技资源向苏北集聚的意见》（苏政办发〔2013〕188号）要求，结合我县实际，提出如下意见: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caps w:val="0"/>
          <w:color w:val="000000"/>
          <w:spacing w:val="0"/>
          <w:sz w:val="24"/>
          <w:szCs w:val="24"/>
        </w:rPr>
      </w:pPr>
      <w:r>
        <w:rPr>
          <w:rFonts w:ascii="黑体" w:hAnsi="宋体" w:eastAsia="黑体" w:cs="黑体"/>
          <w:i w:val="0"/>
          <w:caps w:val="0"/>
          <w:color w:val="000000"/>
          <w:spacing w:val="0"/>
          <w:sz w:val="32"/>
          <w:szCs w:val="32"/>
          <w:bdr w:val="none" w:color="auto" w:sz="0" w:space="0"/>
          <w:shd w:val="clear" w:fill="FFFFFF"/>
        </w:rPr>
        <w:t>一、加快建设创新型县、镇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到2015年，科技创新能力显著提升，区域创新体系日益完善。其中，按创建创新型试点县份要求，全社会研发投入占地区生产总值的比重达2%以上，万人发明专利拥有量达3件；经济综合实力显著增强，经济增长质量和效益明显提高，高新技术产业产值占规模以上工业总产值的比重达35%以上，高新技术企业达25家。按创建创新型试点镇要求，科技管理及服务机构人员数达20人以上，高新技术企业数占规模以上工业企业12%以上，特色主导产业产值占工农业总产值比重达40%以上，建立长期稳定产学研合作关系特色产业企业达20个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成功创建创新型试点县份后，给予牵头及责任部门共10万元的奖励，对成功创建创新型试点镇的，每镇给予3万元的奖励。县级科技三项经费对创新型试点镇给予适当倾斜政策，对在创新型县、镇建设过程中做出突出成绩的先进单位及个人给予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二、鼓励高新技术企业和战略性新兴产业发展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caps w:val="0"/>
          <w:color w:val="333333"/>
          <w:spacing w:val="0"/>
          <w:sz w:val="21"/>
          <w:szCs w:val="21"/>
        </w:rPr>
      </w:pPr>
      <w:r>
        <w:rPr>
          <w:rFonts w:ascii="楷体_GB2312" w:hAnsi="Times New Roman" w:eastAsia="楷体_GB2312" w:cs="楷体_GB2312"/>
          <w:b/>
          <w:i w:val="0"/>
          <w:caps w:val="0"/>
          <w:color w:val="333333"/>
          <w:spacing w:val="0"/>
          <w:sz w:val="32"/>
          <w:szCs w:val="32"/>
          <w:bdr w:val="none" w:color="auto" w:sz="0" w:space="0"/>
          <w:shd w:val="clear" w:fill="FFFFFF"/>
        </w:rPr>
        <w:t>1.</w:t>
      </w:r>
      <w:r>
        <w:rPr>
          <w:rFonts w:hint="default" w:ascii="楷体_GB2312" w:hAnsi="Times New Roman" w:eastAsia="楷体_GB2312" w:cs="楷体_GB2312"/>
          <w:b/>
          <w:i w:val="0"/>
          <w:caps w:val="0"/>
          <w:color w:val="333333"/>
          <w:spacing w:val="0"/>
          <w:sz w:val="32"/>
          <w:szCs w:val="32"/>
          <w:bdr w:val="none" w:color="auto" w:sz="0" w:space="0"/>
          <w:shd w:val="clear" w:fill="FFFFFF"/>
        </w:rPr>
        <w:t>深化创新型企业培育机制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 全面落实高新技术企业税收减免和企业研发费用加计扣除等科技税收优惠政策，支持企业牵头承担国家科技重大专项以及国家和省重大科技攻关项目，提高企业研究开发活动的层次和水平。对新认定的承担国家、省重大科技专项任务的企业，给予30万元奖励（包括国家科技重大专项 、省科技成果转化专项资金）。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default" w:ascii="楷体_GB2312" w:hAnsi="宋体" w:eastAsia="楷体_GB2312" w:cs="楷体_GB2312"/>
          <w:b/>
          <w:i w:val="0"/>
          <w:caps w:val="0"/>
          <w:color w:val="000000"/>
          <w:spacing w:val="0"/>
          <w:sz w:val="32"/>
          <w:szCs w:val="32"/>
          <w:bdr w:val="none" w:color="auto" w:sz="0" w:space="0"/>
          <w:shd w:val="clear" w:fill="FFFFFF"/>
        </w:rPr>
        <w:t>2.启动科技企业“小升高”计划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推动中小企业向高成长、新模式与新业态转型，加速成长为行业有影响的高新技术企业，带动企业创新集群发展。对新认定的国家级高新技术企业、江苏省高新技术企业后备企业（省级高新技术企业），分别给予10万元、5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default" w:ascii="楷体_GB2312" w:hAnsi="宋体" w:eastAsia="楷体_GB2312" w:cs="楷体_GB2312"/>
          <w:b/>
          <w:i w:val="0"/>
          <w:caps w:val="0"/>
          <w:color w:val="000000"/>
          <w:spacing w:val="0"/>
          <w:sz w:val="32"/>
          <w:szCs w:val="32"/>
          <w:bdr w:val="none" w:color="auto" w:sz="0" w:space="0"/>
          <w:shd w:val="clear" w:fill="FFFFFF"/>
        </w:rPr>
        <w:t>3.加强产业重大核心技术突破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设立政府引导资金，用于支持战略性新兴产业发展，重点支持高端装备制造、生物技术和新医药、节能环保、新一代信息技术和软件等产业。其中高端装备制造生产企业产品销售产生的所得税留成部分五年先征后返，返还部分作为发展高端装备产业的专项资金；鼓励县内企业使用县内高端装备制造生产企业生产的产品，按照购买量给予5%的补贴；对县内高端装备制造企业当年投入的研发费用占销售收入比例达到5%以上，且销售收入在1亿元以上的，给予企业当年一次性研发投入补助20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大力发展高新技术企业、战略性新兴产业，鼓励企业积极申报科研成果，对获得国家、省、市科技进步奖的科研成果分别给予20万元、10万元、2万元的一次性奖励。对战略性新兴产业获得国家、省、市科技计划项目专项资助的，给予30%的配套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2"/>
          <w:szCs w:val="32"/>
          <w:bdr w:val="none" w:color="auto" w:sz="0" w:space="0"/>
          <w:shd w:val="clear" w:fill="FFFFFF"/>
        </w:rPr>
        <w:t>三、鼓励科技企业孵化器和研发平台建设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caps w:val="0"/>
          <w:color w:val="000000"/>
          <w:spacing w:val="0"/>
          <w:sz w:val="24"/>
          <w:szCs w:val="24"/>
        </w:rPr>
      </w:pPr>
      <w:r>
        <w:rPr>
          <w:rFonts w:hint="default" w:ascii="楷体_GB2312" w:hAnsi="宋体" w:eastAsia="楷体_GB2312" w:cs="楷体_GB2312"/>
          <w:b/>
          <w:i w:val="0"/>
          <w:caps w:val="0"/>
          <w:color w:val="000000"/>
          <w:spacing w:val="0"/>
          <w:sz w:val="32"/>
          <w:szCs w:val="32"/>
          <w:bdr w:val="none" w:color="auto" w:sz="0" w:space="0"/>
          <w:shd w:val="clear" w:fill="FFFFFF"/>
        </w:rPr>
        <w:t> 1.提升科技创业园建设水平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依托我县经济开发区、宁江工业园、八里金属机电产业园、现代农业示范区，积极争创省级高新区、省级南北共建高新区、国家级现代高效农业科技园。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支持科技成果转化中心的建设。县政府提供一期面积不低于1万平方米的科技成果转化或孵化场所，成立有机构有人员的成果转化中心。坚持“政府主导、市场运作、多元投入”原则，一方面加大政府投入力度，另一方面积极引导各类非政府组织、企业和自然人利用社会资金和闲置房屋参与孵化器建设，特别是鼓励、支持省内外高等院校、科研院所、大中型企业联合共建科技企业孵化器；鼓励风险投资机构、民间资本通过股权投资等形式，参与孵化器建设；鼓励科技中介机构参与孵化器建设，积极引进专利代理、财务管理和科技中介进驻各类孵化器，开展相应服务。对新建孵化器、孵化面积增加、服务能力提高、孵化毕业企业绩效突出，经考核给予10-20万元的奖励资助。对于进入睢宁科技园孵化、与园区签订孵化协议的企业，其房租前3年减免、后2年减半，享受规费全免、税收优惠等政策，并给其协调创业资金及融资支持。将入园孵化任务纳入有科技镇长团成员挂职的镇或园区考核内容（作为加分项，最高加一分），相应单位每年至少完成三个入园企业孵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鼓励国内外科研人员的科技成果与睢宁企业合作转化。对具有较好经济社会效益的科技成果，由成果所有人与成果转化的合作单位联合向县科技局提供成果转化报告书。成果取得效益后，由科技局、财政局、国税局、地税局、审计局等相关部门联合评审。对使用该成果形成的新产品，销售收入在2000万元以上且年税收在50万元以上的，县财政在当年给予成果所有人不低于10万元的一次性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探索使用科技创新券的路径和办法，支持企业向高等院校所购买科技服务和科技成果，以及企业研究机构建设。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default" w:ascii="楷体_GB2312" w:hAnsi="宋体" w:eastAsia="楷体_GB2312" w:cs="楷体_GB2312"/>
          <w:b/>
          <w:i w:val="0"/>
          <w:caps w:val="0"/>
          <w:color w:val="000000"/>
          <w:spacing w:val="0"/>
          <w:sz w:val="32"/>
          <w:szCs w:val="32"/>
          <w:bdr w:val="none" w:color="auto" w:sz="0" w:space="0"/>
          <w:shd w:val="clear" w:fill="FFFFFF"/>
        </w:rPr>
        <w:t>2.提升企业研发机构建设水平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按照“稳定规模、提升质量、发挥作用”的要求，做大做强一批具有较大规模和较强自主开发能力的企业研发中心。对被新认定为省级院士工作站的给予20万元的奖励，对其他被新认定为国家级、省级企业研发机构（包括企业技术中心、工程中心、工程技术研究中心、重点实验室、博士后科研工作站等）的，按照《2014睢宁县中小企业升级年活动奖励办法》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default" w:ascii="楷体_GB2312" w:hAnsi="宋体" w:eastAsia="楷体_GB2312" w:cs="楷体_GB2312"/>
          <w:b/>
          <w:i w:val="0"/>
          <w:caps w:val="0"/>
          <w:color w:val="000000"/>
          <w:spacing w:val="0"/>
          <w:sz w:val="32"/>
          <w:szCs w:val="32"/>
          <w:bdr w:val="none" w:color="auto" w:sz="0" w:space="0"/>
          <w:shd w:val="clear" w:fill="FFFFFF"/>
        </w:rPr>
        <w:t>3.筹建县产业技术研究院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探索产业共性技术研发新模式，按照“需求引导、多元共建、统分结合、体系开放、水平一流”的要求，筹建我县产业技术研究院。充分发挥科技镇长团的人才智力和人脉资源，与哈工大、重庆大学、东北大学等高校开展联合攻关，逐步组建皮革皮具、纺织服装、小麦深加工等产业技术研究院，为我县产业转型升级提供智力支持。县财政给予成功组建的产业技术研究院（经省级以上机构认定）不低于50万元的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ascii="方正黑体_GBK" w:hAnsi="方正黑体_GBK" w:eastAsia="方正黑体_GBK" w:cs="方正黑体_GBK"/>
          <w:i w:val="0"/>
          <w:caps w:val="0"/>
          <w:color w:val="000000"/>
          <w:spacing w:val="0"/>
          <w:sz w:val="32"/>
          <w:szCs w:val="32"/>
          <w:bdr w:val="none" w:color="auto" w:sz="0" w:space="0"/>
          <w:shd w:val="clear" w:fill="FFFFFF"/>
        </w:rPr>
        <w:t>四、鼓励县内外创业投资公司、科技小贷公司、担保公司来我县设立分支机构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auto"/>
          <w:spacing w:val="0"/>
          <w:sz w:val="32"/>
          <w:szCs w:val="32"/>
          <w:bdr w:val="none" w:color="auto" w:sz="0" w:space="0"/>
          <w:shd w:val="clear" w:fill="FFFFFF"/>
        </w:rPr>
        <w:t>对创业投资公司、科技小贷公司、担保公司等购买营业办公楼的，给予契税全额奖励。筹建期间上缴地方的非税收入全额奖励。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对新设立的创业投资公司、科技小贷公司、担保公司等从实现正常运营之日起，三年内所缴纳的所得税地方留成部分和营业税，由县财政全额返还；派驻高管人员个人所得税地方留成部分，前3年全额奖励，后2年减半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方正黑体_GBK" w:hAnsi="方正黑体_GBK" w:eastAsia="方正黑体_GBK" w:cs="方正黑体_GBK"/>
          <w:i w:val="0"/>
          <w:caps w:val="0"/>
          <w:color w:val="000000"/>
          <w:spacing w:val="0"/>
          <w:sz w:val="32"/>
          <w:szCs w:val="32"/>
          <w:bdr w:val="none" w:color="auto" w:sz="0" w:space="0"/>
          <w:shd w:val="clear" w:fill="FFFFFF"/>
        </w:rPr>
        <w:t>五、附则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2"/>
          <w:szCs w:val="32"/>
          <w:bdr w:val="none" w:color="auto" w:sz="0" w:space="0"/>
          <w:shd w:val="clear" w:fill="FFFFFF"/>
        </w:rPr>
        <w:t>本《意见》在实施过程中，由县科技局牵头，相关部门配合，具体制定实施细则。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9"/>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5696"/>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睢宁县人民政府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19"/>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　　　　　　　　　　　　　　　２０１４年３月１０日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11E56"/>
    <w:rsid w:val="2D211E56"/>
    <w:rsid w:val="3F945842"/>
    <w:rsid w:val="533D3F67"/>
    <w:rsid w:val="5DEE684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2018-06-08T02:02:00Z</dcterms:created>
  <dc:creator>栾晓琴</dc:creator>
  <cp:lastModifiedBy>栾晓琴</cp:lastModifiedBy>
  <dcterms:modified xsi:type="dcterms:W3CDTF">2018-06-08T03:37:16Z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