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9D0" w:rsidRPr="00A759D0" w:rsidRDefault="00A759D0" w:rsidP="00A759D0">
      <w:pPr>
        <w:widowControl/>
        <w:shd w:val="clear" w:color="auto" w:fill="FFFFFF"/>
        <w:spacing w:after="210"/>
        <w:jc w:val="left"/>
        <w:outlineLvl w:val="1"/>
        <w:rPr>
          <w:rFonts w:ascii="Microsoft YaHei UI" w:eastAsia="Microsoft YaHei UI" w:hAnsi="Microsoft YaHei UI" w:cs="宋体"/>
          <w:color w:val="333333"/>
          <w:spacing w:val="8"/>
          <w:kern w:val="0"/>
          <w:sz w:val="33"/>
          <w:szCs w:val="33"/>
        </w:rPr>
      </w:pPr>
      <w:r w:rsidRPr="00A759D0">
        <w:rPr>
          <w:rFonts w:ascii="Microsoft YaHei UI" w:eastAsia="Microsoft YaHei UI" w:hAnsi="Microsoft YaHei UI" w:cs="宋体" w:hint="eastAsia"/>
          <w:color w:val="333333"/>
          <w:spacing w:val="8"/>
          <w:kern w:val="0"/>
          <w:sz w:val="33"/>
          <w:szCs w:val="33"/>
        </w:rPr>
        <w:t>印发《重庆市科技型</w:t>
      </w:r>
      <w:bookmarkStart w:id="0" w:name="_GoBack"/>
      <w:bookmarkEnd w:id="0"/>
      <w:r w:rsidRPr="00A759D0">
        <w:rPr>
          <w:rFonts w:ascii="Microsoft YaHei UI" w:eastAsia="Microsoft YaHei UI" w:hAnsi="Microsoft YaHei UI" w:cs="宋体" w:hint="eastAsia"/>
          <w:color w:val="333333"/>
          <w:spacing w:val="8"/>
          <w:kern w:val="0"/>
          <w:sz w:val="33"/>
          <w:szCs w:val="33"/>
        </w:rPr>
        <w:t>企业管理和服务实施细则》的通知</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Calibri" w:hint="eastAsia"/>
          <w:color w:val="333333"/>
          <w:spacing w:val="8"/>
          <w:kern w:val="0"/>
          <w:szCs w:val="21"/>
        </w:rPr>
        <w:t>各区县科技行政主管部门，有关单位：</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Calibri" w:hint="eastAsia"/>
          <w:color w:val="333333"/>
          <w:spacing w:val="8"/>
          <w:kern w:val="0"/>
          <w:szCs w:val="21"/>
        </w:rPr>
        <w:t>为加快培育以科技型企业为支撑、以高新技术企业和高成长性科技企业为骨干的优质市场主体，强化企业技术创新主体地位，市科技局在认真总结科技型企业培育工作经验的基础上，结合我市实际，对《重庆市科技型企业标准和管理实施细则》进行了修订。现印发给你们，请遵照执行。</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Calibri" w:hint="eastAsia"/>
          <w:color w:val="333333"/>
          <w:spacing w:val="8"/>
          <w:kern w:val="0"/>
          <w:szCs w:val="21"/>
        </w:rPr>
        <w:t>附件：重庆市科技型企业管理和服务实施细则</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Calibri" w:hint="eastAsia"/>
          <w:color w:val="333333"/>
          <w:spacing w:val="8"/>
          <w:kern w:val="0"/>
          <w:szCs w:val="21"/>
        </w:rPr>
        <w:t>重庆市科学技术局</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b/>
          <w:bCs/>
          <w:color w:val="0000FF"/>
          <w:spacing w:val="8"/>
          <w:kern w:val="0"/>
          <w:szCs w:val="21"/>
        </w:rPr>
        <w:t>附件  重庆市科技型企业管理和服务实施细则</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    第一条  为加快培育以科技型企业为支撑、以高新技术企业和高成长性科技企业为骨干的优质市场主体，强化企业技术创新主体地位，扶持和鼓励科技型企业发展，特制定本细则。</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第二条  重庆市科学技术局（以下简称“市科技局”）依托重庆科技资源共享平台，建立重庆科技型企业培育库（以下简称“培育库”），为自愿入库的科技型企业提供入库申报、统计分析、科技创新</w:t>
      </w:r>
      <w:proofErr w:type="gramStart"/>
      <w:r w:rsidRPr="00A759D0">
        <w:rPr>
          <w:rFonts w:ascii="宋体" w:eastAsia="宋体" w:hAnsi="宋体" w:cs="宋体" w:hint="eastAsia"/>
          <w:color w:val="333333"/>
          <w:spacing w:val="8"/>
          <w:kern w:val="0"/>
          <w:szCs w:val="21"/>
        </w:rPr>
        <w:t>券</w:t>
      </w:r>
      <w:proofErr w:type="gramEnd"/>
      <w:r w:rsidRPr="00A759D0">
        <w:rPr>
          <w:rFonts w:ascii="宋体" w:eastAsia="宋体" w:hAnsi="宋体" w:cs="宋体" w:hint="eastAsia"/>
          <w:color w:val="333333"/>
          <w:spacing w:val="8"/>
          <w:kern w:val="0"/>
          <w:szCs w:val="21"/>
        </w:rPr>
        <w:t>、科技金融等各类科技管理服务，进一步营造有利于科技型企业生长的创新生态环境，推动我市科技型企业培育工作。</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第三条  各区县科技行政管理部门负责对本区县科技型企业申报材料的真实性审核和推荐。市科技局委托第三方机构对区县推荐的科技型企业申报材料进行复核抽查和日常管理。</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第四条  自愿申请入库的科技型企业应当依法在重庆市行政区域内设立、登记、注册一年以上，具有独立法人资格，从事符合国家政策的研究、开发、生产和经营业务，资产状况和知识产权清晰，会计核算健全，研究开发与试验发展（简称“</w:t>
      </w:r>
      <w:r w:rsidRPr="00A759D0">
        <w:rPr>
          <w:rFonts w:ascii="Calibri" w:eastAsia="宋体" w:hAnsi="Calibri" w:cs="Calibri"/>
          <w:color w:val="333333"/>
          <w:spacing w:val="8"/>
          <w:kern w:val="0"/>
          <w:szCs w:val="21"/>
        </w:rPr>
        <w:t>R&amp;D</w:t>
      </w:r>
      <w:r w:rsidRPr="00A759D0">
        <w:rPr>
          <w:rFonts w:ascii="宋体" w:eastAsia="宋体" w:hAnsi="宋体" w:cs="宋体" w:hint="eastAsia"/>
          <w:color w:val="333333"/>
          <w:spacing w:val="8"/>
          <w:kern w:val="0"/>
          <w:szCs w:val="21"/>
        </w:rPr>
        <w:t>”）经费支出归集规范。同时，符合以下条件之一：</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1．企业有一定数量的</w:t>
      </w:r>
      <w:r w:rsidRPr="00A759D0">
        <w:rPr>
          <w:rFonts w:ascii="Calibri" w:eastAsia="宋体" w:hAnsi="Calibri" w:cs="Calibri"/>
          <w:color w:val="333333"/>
          <w:spacing w:val="8"/>
          <w:kern w:val="0"/>
          <w:szCs w:val="21"/>
        </w:rPr>
        <w:t>R&amp;D</w:t>
      </w:r>
      <w:r w:rsidRPr="00A759D0">
        <w:rPr>
          <w:rFonts w:ascii="宋体" w:eastAsia="宋体" w:hAnsi="宋体" w:cs="宋体" w:hint="eastAsia"/>
          <w:color w:val="333333"/>
          <w:spacing w:val="8"/>
          <w:kern w:val="0"/>
          <w:szCs w:val="21"/>
        </w:rPr>
        <w:t>人员和</w:t>
      </w:r>
      <w:r w:rsidRPr="00A759D0">
        <w:rPr>
          <w:rFonts w:ascii="Calibri" w:eastAsia="宋体" w:hAnsi="Calibri" w:cs="Calibri"/>
          <w:color w:val="333333"/>
          <w:spacing w:val="8"/>
          <w:kern w:val="0"/>
          <w:szCs w:val="21"/>
        </w:rPr>
        <w:t>R&amp;D</w:t>
      </w:r>
      <w:r w:rsidRPr="00A759D0">
        <w:rPr>
          <w:rFonts w:ascii="宋体" w:eastAsia="宋体" w:hAnsi="宋体" w:cs="宋体" w:hint="eastAsia"/>
          <w:color w:val="333333"/>
          <w:spacing w:val="8"/>
          <w:kern w:val="0"/>
          <w:szCs w:val="21"/>
        </w:rPr>
        <w:t>经费支出，其中：</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    大中型企业当年R&amp;D人员数占从业人员总数比例≥</w:t>
      </w:r>
      <w:r w:rsidRPr="00A759D0">
        <w:rPr>
          <w:rFonts w:ascii="Calibri" w:eastAsia="宋体" w:hAnsi="Calibri" w:cs="Calibri"/>
          <w:color w:val="333333"/>
          <w:spacing w:val="8"/>
          <w:kern w:val="0"/>
          <w:szCs w:val="21"/>
        </w:rPr>
        <w:t>3%</w:t>
      </w:r>
      <w:r w:rsidRPr="00A759D0">
        <w:rPr>
          <w:rFonts w:ascii="宋体" w:eastAsia="宋体" w:hAnsi="宋体" w:cs="宋体" w:hint="eastAsia"/>
          <w:color w:val="333333"/>
          <w:spacing w:val="8"/>
          <w:kern w:val="0"/>
          <w:szCs w:val="21"/>
        </w:rPr>
        <w:t>，</w:t>
      </w:r>
      <w:r w:rsidRPr="00A759D0">
        <w:rPr>
          <w:rFonts w:ascii="Calibri" w:eastAsia="宋体" w:hAnsi="Calibri" w:cs="Calibri"/>
          <w:color w:val="333333"/>
          <w:spacing w:val="8"/>
          <w:kern w:val="0"/>
          <w:szCs w:val="21"/>
        </w:rPr>
        <w:t>R&amp;D</w:t>
      </w:r>
      <w:r w:rsidRPr="00A759D0">
        <w:rPr>
          <w:rFonts w:ascii="宋体" w:eastAsia="宋体" w:hAnsi="宋体" w:cs="宋体" w:hint="eastAsia"/>
          <w:color w:val="333333"/>
          <w:spacing w:val="8"/>
          <w:kern w:val="0"/>
          <w:szCs w:val="21"/>
        </w:rPr>
        <w:t>经费支出占主营业务收入比重≥</w:t>
      </w:r>
      <w:r w:rsidRPr="00A759D0">
        <w:rPr>
          <w:rFonts w:ascii="Calibri" w:eastAsia="宋体" w:hAnsi="Calibri" w:cs="Calibri"/>
          <w:color w:val="333333"/>
          <w:spacing w:val="8"/>
          <w:kern w:val="0"/>
          <w:szCs w:val="21"/>
        </w:rPr>
        <w:t>1%</w:t>
      </w:r>
      <w:r w:rsidRPr="00A759D0">
        <w:rPr>
          <w:rFonts w:ascii="宋体" w:eastAsia="宋体" w:hAnsi="宋体" w:cs="宋体" w:hint="eastAsia"/>
          <w:color w:val="333333"/>
          <w:spacing w:val="8"/>
          <w:kern w:val="0"/>
          <w:szCs w:val="21"/>
        </w:rPr>
        <w:t>。</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    小型企业当年R&amp;D人员数占从业人员总数比例≥</w:t>
      </w:r>
      <w:r w:rsidRPr="00A759D0">
        <w:rPr>
          <w:rFonts w:ascii="Calibri" w:eastAsia="宋体" w:hAnsi="Calibri" w:cs="Calibri"/>
          <w:color w:val="333333"/>
          <w:spacing w:val="8"/>
          <w:kern w:val="0"/>
          <w:szCs w:val="21"/>
        </w:rPr>
        <w:t>5%</w:t>
      </w:r>
      <w:r w:rsidRPr="00A759D0">
        <w:rPr>
          <w:rFonts w:ascii="宋体" w:eastAsia="宋体" w:hAnsi="宋体" w:cs="宋体" w:hint="eastAsia"/>
          <w:color w:val="333333"/>
          <w:spacing w:val="8"/>
          <w:kern w:val="0"/>
          <w:szCs w:val="21"/>
        </w:rPr>
        <w:t>，</w:t>
      </w:r>
      <w:r w:rsidRPr="00A759D0">
        <w:rPr>
          <w:rFonts w:ascii="Calibri" w:eastAsia="宋体" w:hAnsi="Calibri" w:cs="Calibri"/>
          <w:color w:val="333333"/>
          <w:spacing w:val="8"/>
          <w:kern w:val="0"/>
          <w:szCs w:val="21"/>
        </w:rPr>
        <w:t>R&amp;D</w:t>
      </w:r>
      <w:r w:rsidRPr="00A759D0">
        <w:rPr>
          <w:rFonts w:ascii="宋体" w:eastAsia="宋体" w:hAnsi="宋体" w:cs="宋体" w:hint="eastAsia"/>
          <w:color w:val="333333"/>
          <w:spacing w:val="8"/>
          <w:kern w:val="0"/>
          <w:szCs w:val="21"/>
        </w:rPr>
        <w:t>经费支出占主营业务收入比重≥</w:t>
      </w:r>
      <w:r w:rsidRPr="00A759D0">
        <w:rPr>
          <w:rFonts w:ascii="Calibri" w:eastAsia="宋体" w:hAnsi="Calibri" w:cs="Calibri"/>
          <w:color w:val="333333"/>
          <w:spacing w:val="8"/>
          <w:kern w:val="0"/>
          <w:szCs w:val="21"/>
        </w:rPr>
        <w:t>2%</w:t>
      </w:r>
      <w:r w:rsidRPr="00A759D0">
        <w:rPr>
          <w:rFonts w:ascii="宋体" w:eastAsia="宋体" w:hAnsi="宋体" w:cs="宋体" w:hint="eastAsia"/>
          <w:color w:val="333333"/>
          <w:spacing w:val="8"/>
          <w:kern w:val="0"/>
          <w:szCs w:val="21"/>
        </w:rPr>
        <w:t>。</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微型企业当年R&amp;D人员数占从业人员总数比例≥</w:t>
      </w:r>
      <w:r w:rsidRPr="00A759D0">
        <w:rPr>
          <w:rFonts w:ascii="Calibri" w:eastAsia="宋体" w:hAnsi="Calibri" w:cs="Calibri"/>
          <w:color w:val="333333"/>
          <w:spacing w:val="8"/>
          <w:kern w:val="0"/>
          <w:szCs w:val="21"/>
        </w:rPr>
        <w:t>10%</w:t>
      </w:r>
      <w:r w:rsidRPr="00A759D0">
        <w:rPr>
          <w:rFonts w:ascii="宋体" w:eastAsia="宋体" w:hAnsi="宋体" w:cs="宋体" w:hint="eastAsia"/>
          <w:color w:val="333333"/>
          <w:spacing w:val="8"/>
          <w:kern w:val="0"/>
          <w:szCs w:val="21"/>
        </w:rPr>
        <w:t>，</w:t>
      </w:r>
      <w:r w:rsidRPr="00A759D0">
        <w:rPr>
          <w:rFonts w:ascii="Calibri" w:eastAsia="宋体" w:hAnsi="Calibri" w:cs="Calibri"/>
          <w:color w:val="333333"/>
          <w:spacing w:val="8"/>
          <w:kern w:val="0"/>
          <w:szCs w:val="21"/>
        </w:rPr>
        <w:t>R&amp;D</w:t>
      </w:r>
      <w:r w:rsidRPr="00A759D0">
        <w:rPr>
          <w:rFonts w:ascii="宋体" w:eastAsia="宋体" w:hAnsi="宋体" w:cs="宋体" w:hint="eastAsia"/>
          <w:color w:val="333333"/>
          <w:spacing w:val="8"/>
          <w:kern w:val="0"/>
          <w:szCs w:val="21"/>
        </w:rPr>
        <w:t>经费支出占主营业务收入比重≥</w:t>
      </w:r>
      <w:r w:rsidRPr="00A759D0">
        <w:rPr>
          <w:rFonts w:ascii="Calibri" w:eastAsia="宋体" w:hAnsi="Calibri" w:cs="Calibri"/>
          <w:color w:val="333333"/>
          <w:spacing w:val="8"/>
          <w:kern w:val="0"/>
          <w:szCs w:val="21"/>
        </w:rPr>
        <w:t>3%</w:t>
      </w:r>
      <w:r w:rsidRPr="00A759D0">
        <w:rPr>
          <w:rFonts w:ascii="宋体" w:eastAsia="宋体" w:hAnsi="宋体" w:cs="宋体" w:hint="eastAsia"/>
          <w:color w:val="333333"/>
          <w:spacing w:val="8"/>
          <w:kern w:val="0"/>
          <w:szCs w:val="21"/>
        </w:rPr>
        <w:t>。</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上述“大中型企业”、“小型企业”以及“微型企业”划分标准按照《国家统计局关于印发统计上大中小微型企业划分办法的通知》（国统字〔</w:t>
      </w:r>
      <w:r w:rsidRPr="00A759D0">
        <w:rPr>
          <w:rFonts w:ascii="Calibri" w:eastAsia="宋体" w:hAnsi="Calibri" w:cs="Calibri"/>
          <w:color w:val="333333"/>
          <w:spacing w:val="8"/>
          <w:kern w:val="0"/>
          <w:szCs w:val="21"/>
        </w:rPr>
        <w:t>2011</w:t>
      </w:r>
      <w:r w:rsidRPr="00A759D0">
        <w:rPr>
          <w:rFonts w:ascii="宋体" w:eastAsia="宋体" w:hAnsi="宋体" w:cs="宋体" w:hint="eastAsia"/>
          <w:color w:val="333333"/>
          <w:spacing w:val="8"/>
          <w:kern w:val="0"/>
          <w:szCs w:val="21"/>
        </w:rPr>
        <w:t>〕</w:t>
      </w:r>
      <w:r w:rsidRPr="00A759D0">
        <w:rPr>
          <w:rFonts w:ascii="Calibri" w:eastAsia="宋体" w:hAnsi="Calibri" w:cs="Calibri"/>
          <w:color w:val="333333"/>
          <w:spacing w:val="8"/>
          <w:kern w:val="0"/>
          <w:szCs w:val="21"/>
        </w:rPr>
        <w:t>75</w:t>
      </w:r>
      <w:r w:rsidRPr="00A759D0">
        <w:rPr>
          <w:rFonts w:ascii="宋体" w:eastAsia="宋体" w:hAnsi="宋体" w:cs="宋体" w:hint="eastAsia"/>
          <w:color w:val="333333"/>
          <w:spacing w:val="8"/>
          <w:kern w:val="0"/>
          <w:szCs w:val="21"/>
        </w:rPr>
        <w:t>号）执行。</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2．拥有高层次科技人才</w:t>
      </w:r>
      <w:r w:rsidRPr="00A759D0">
        <w:rPr>
          <w:rFonts w:ascii="Calibri" w:eastAsia="宋体" w:hAnsi="Calibri" w:cs="Calibri"/>
          <w:color w:val="333333"/>
          <w:spacing w:val="8"/>
          <w:kern w:val="0"/>
          <w:szCs w:val="21"/>
        </w:rPr>
        <w:t>1</w:t>
      </w:r>
      <w:r w:rsidRPr="00A759D0">
        <w:rPr>
          <w:rFonts w:ascii="宋体" w:eastAsia="宋体" w:hAnsi="宋体" w:cs="宋体" w:hint="eastAsia"/>
          <w:color w:val="333333"/>
          <w:spacing w:val="8"/>
          <w:kern w:val="0"/>
          <w:szCs w:val="21"/>
        </w:rPr>
        <w:t>名及以上。</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    3．拥有通过自主研发、受让、受赠、并购等方式获得的，对其主要产品（服务）在技术上发挥核心作用的具有知识产权的科技成果</w:t>
      </w:r>
      <w:r w:rsidRPr="00A759D0">
        <w:rPr>
          <w:rFonts w:ascii="Calibri" w:eastAsia="宋体" w:hAnsi="Calibri" w:cs="Calibri"/>
          <w:color w:val="333333"/>
          <w:spacing w:val="8"/>
          <w:kern w:val="0"/>
          <w:szCs w:val="21"/>
        </w:rPr>
        <w:t>1</w:t>
      </w:r>
      <w:r w:rsidRPr="00A759D0">
        <w:rPr>
          <w:rFonts w:ascii="宋体" w:eastAsia="宋体" w:hAnsi="宋体" w:cs="宋体" w:hint="eastAsia"/>
          <w:color w:val="333333"/>
          <w:spacing w:val="8"/>
          <w:kern w:val="0"/>
          <w:szCs w:val="21"/>
        </w:rPr>
        <w:t>项及以上，包括：高新技术产品、重大新产品、计算机软件、集成电路布图、新药、新型医疗器械、农业机械、动植物新品种、发明专利（或实用新型专利、外观设计专利</w:t>
      </w:r>
      <w:r w:rsidRPr="00A759D0">
        <w:rPr>
          <w:rFonts w:ascii="Calibri" w:eastAsia="宋体" w:hAnsi="Calibri" w:cs="Calibri"/>
          <w:color w:val="333333"/>
          <w:spacing w:val="8"/>
          <w:kern w:val="0"/>
          <w:szCs w:val="21"/>
        </w:rPr>
        <w:t>3</w:t>
      </w:r>
      <w:r w:rsidRPr="00A759D0">
        <w:rPr>
          <w:rFonts w:ascii="宋体" w:eastAsia="宋体" w:hAnsi="宋体" w:cs="宋体" w:hint="eastAsia"/>
          <w:color w:val="333333"/>
          <w:spacing w:val="8"/>
          <w:kern w:val="0"/>
          <w:szCs w:val="21"/>
        </w:rPr>
        <w:t>项及以上）等。</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    第五条  主营业务属于下列行业的企业不适合申报科技型企业：</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    1．烟草制造业；</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    2．住宿和餐饮业；</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    3．批发和零售业；</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    4．房地产业；</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    5．租赁和商务服务业；</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lastRenderedPageBreak/>
        <w:t>    6．娱乐业；</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    7．财政部和国家税务总局规定的其他行业。</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    上述行业以《国民经济行业分类与代码（GB/4754 -2011）》为准，并随之更新。</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第六条  鼓励科技型企业不断提升创新能力，提档升级为高新技术企业和高成长性科技企业。</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    高新技术企业是指符合国家《高新技术企业认定管理办法》规定的条件，并且通过科技部备案认定的科技型企业。</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    高成长性科技企业是指持续进行研究开发与技术成果转化，具有核心自主知识产权和自主研发能力，具备颠覆传统行业或开拓新产业潜能，主营业务收入快速增长的科技型企业。</w:t>
      </w:r>
      <w:proofErr w:type="gramStart"/>
      <w:r w:rsidRPr="00A759D0">
        <w:rPr>
          <w:rFonts w:ascii="宋体" w:eastAsia="宋体" w:hAnsi="宋体" w:cs="宋体" w:hint="eastAsia"/>
          <w:color w:val="333333"/>
          <w:spacing w:val="8"/>
          <w:kern w:val="0"/>
          <w:szCs w:val="21"/>
        </w:rPr>
        <w:t>分为分为</w:t>
      </w:r>
      <w:proofErr w:type="gramEnd"/>
      <w:r w:rsidRPr="00A759D0">
        <w:rPr>
          <w:rFonts w:ascii="宋体" w:eastAsia="宋体" w:hAnsi="宋体" w:cs="宋体" w:hint="eastAsia"/>
          <w:color w:val="333333"/>
          <w:spacing w:val="8"/>
          <w:kern w:val="0"/>
          <w:szCs w:val="21"/>
        </w:rPr>
        <w:t>牛羚企业、瞪</w:t>
      </w:r>
      <w:proofErr w:type="gramStart"/>
      <w:r w:rsidRPr="00A759D0">
        <w:rPr>
          <w:rFonts w:ascii="宋体" w:eastAsia="宋体" w:hAnsi="宋体" w:cs="宋体" w:hint="eastAsia"/>
          <w:color w:val="333333"/>
          <w:spacing w:val="8"/>
          <w:kern w:val="0"/>
          <w:szCs w:val="21"/>
        </w:rPr>
        <w:t>羚</w:t>
      </w:r>
      <w:proofErr w:type="gramEnd"/>
      <w:r w:rsidRPr="00A759D0">
        <w:rPr>
          <w:rFonts w:ascii="宋体" w:eastAsia="宋体" w:hAnsi="宋体" w:cs="宋体" w:hint="eastAsia"/>
          <w:color w:val="333333"/>
          <w:spacing w:val="8"/>
          <w:kern w:val="0"/>
          <w:szCs w:val="21"/>
        </w:rPr>
        <w:t>企业和创新引领企业三类：</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1．牛羚企业应当具备以下条件：</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连续两年主营业务收入增长20%以上，且最近一个会计年度主营业务收入达</w:t>
      </w:r>
      <w:r w:rsidRPr="00A759D0">
        <w:rPr>
          <w:rFonts w:ascii="Calibri" w:eastAsia="宋体" w:hAnsi="Calibri" w:cs="Calibri"/>
          <w:color w:val="333333"/>
          <w:spacing w:val="8"/>
          <w:kern w:val="0"/>
          <w:szCs w:val="21"/>
        </w:rPr>
        <w:t>200</w:t>
      </w:r>
      <w:r w:rsidRPr="00A759D0">
        <w:rPr>
          <w:rFonts w:ascii="宋体" w:eastAsia="宋体" w:hAnsi="宋体" w:cs="宋体" w:hint="eastAsia"/>
          <w:color w:val="333333"/>
          <w:spacing w:val="8"/>
          <w:kern w:val="0"/>
          <w:szCs w:val="21"/>
        </w:rPr>
        <w:t>万元以上。</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2．瞪</w:t>
      </w:r>
      <w:proofErr w:type="gramStart"/>
      <w:r w:rsidRPr="00A759D0">
        <w:rPr>
          <w:rFonts w:ascii="宋体" w:eastAsia="宋体" w:hAnsi="宋体" w:cs="宋体" w:hint="eastAsia"/>
          <w:color w:val="333333"/>
          <w:spacing w:val="8"/>
          <w:kern w:val="0"/>
          <w:szCs w:val="21"/>
        </w:rPr>
        <w:t>羚</w:t>
      </w:r>
      <w:proofErr w:type="gramEnd"/>
      <w:r w:rsidRPr="00A759D0">
        <w:rPr>
          <w:rFonts w:ascii="宋体" w:eastAsia="宋体" w:hAnsi="宋体" w:cs="宋体" w:hint="eastAsia"/>
          <w:color w:val="333333"/>
          <w:spacing w:val="8"/>
          <w:kern w:val="0"/>
          <w:szCs w:val="21"/>
        </w:rPr>
        <w:t>企业应当具备以下条件：</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有自主知识产权，连续三年主营业务收入增长30%以上，且最近一个会计年度主营业务收入达</w:t>
      </w:r>
      <w:r w:rsidRPr="00A759D0">
        <w:rPr>
          <w:rFonts w:ascii="Calibri" w:eastAsia="宋体" w:hAnsi="Calibri" w:cs="Calibri"/>
          <w:color w:val="333333"/>
          <w:spacing w:val="8"/>
          <w:kern w:val="0"/>
          <w:szCs w:val="21"/>
        </w:rPr>
        <w:t>1000</w:t>
      </w:r>
      <w:r w:rsidRPr="00A759D0">
        <w:rPr>
          <w:rFonts w:ascii="宋体" w:eastAsia="宋体" w:hAnsi="宋体" w:cs="宋体" w:hint="eastAsia"/>
          <w:color w:val="333333"/>
          <w:spacing w:val="8"/>
          <w:kern w:val="0"/>
          <w:szCs w:val="21"/>
        </w:rPr>
        <w:t>万元以上或利润总额达到</w:t>
      </w:r>
      <w:r w:rsidRPr="00A759D0">
        <w:rPr>
          <w:rFonts w:ascii="Calibri" w:eastAsia="宋体" w:hAnsi="Calibri" w:cs="Calibri"/>
          <w:color w:val="333333"/>
          <w:spacing w:val="8"/>
          <w:kern w:val="0"/>
          <w:szCs w:val="21"/>
        </w:rPr>
        <w:t>200</w:t>
      </w:r>
      <w:r w:rsidRPr="00A759D0">
        <w:rPr>
          <w:rFonts w:ascii="宋体" w:eastAsia="宋体" w:hAnsi="宋体" w:cs="宋体" w:hint="eastAsia"/>
          <w:color w:val="333333"/>
          <w:spacing w:val="8"/>
          <w:kern w:val="0"/>
          <w:szCs w:val="21"/>
        </w:rPr>
        <w:t>万元以上。</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    3．创新引领企业应当具备以下条件：</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    （1）创办时间较短，在行业中有颠覆式创新和引领作用；</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    （2）最近一个会计年度主营业务收入达</w:t>
      </w:r>
      <w:r w:rsidRPr="00A759D0">
        <w:rPr>
          <w:rFonts w:ascii="Calibri" w:eastAsia="宋体" w:hAnsi="Calibri" w:cs="Calibri"/>
          <w:color w:val="333333"/>
          <w:spacing w:val="8"/>
          <w:kern w:val="0"/>
          <w:szCs w:val="21"/>
        </w:rPr>
        <w:t>50</w:t>
      </w:r>
      <w:r w:rsidRPr="00A759D0">
        <w:rPr>
          <w:rFonts w:ascii="宋体" w:eastAsia="宋体" w:hAnsi="宋体" w:cs="宋体" w:hint="eastAsia"/>
          <w:color w:val="333333"/>
          <w:spacing w:val="8"/>
          <w:kern w:val="0"/>
          <w:szCs w:val="21"/>
        </w:rPr>
        <w:t>亿元以上。</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    第七条  科技型企业实行自愿申报、审核入库、网络管理、定期更新。具体程序如下：</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    1．申报。企业登录重庆科技资源共享平台进入科技型企业管理系统（以下简称“管理系统”）进行注册，经所在区县科技行政主管部门审核通过后，填写《重庆市科技型企业信息表》，并且上传“三证合一、一照一码”营业执照、上年度会计报表（资产负债表、现金流量表和损益表，并且需专项列出研究开发费用）等证明材料。</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    2．审核。企业提交的信息和上</w:t>
      </w:r>
      <w:proofErr w:type="gramStart"/>
      <w:r w:rsidRPr="00A759D0">
        <w:rPr>
          <w:rFonts w:ascii="宋体" w:eastAsia="宋体" w:hAnsi="宋体" w:cs="宋体" w:hint="eastAsia"/>
          <w:color w:val="333333"/>
          <w:spacing w:val="8"/>
          <w:kern w:val="0"/>
          <w:szCs w:val="21"/>
        </w:rPr>
        <w:t>传材料</w:t>
      </w:r>
      <w:proofErr w:type="gramEnd"/>
      <w:r w:rsidRPr="00A759D0">
        <w:rPr>
          <w:rFonts w:ascii="宋体" w:eastAsia="宋体" w:hAnsi="宋体" w:cs="宋体" w:hint="eastAsia"/>
          <w:color w:val="333333"/>
          <w:spacing w:val="8"/>
          <w:kern w:val="0"/>
          <w:szCs w:val="21"/>
        </w:rPr>
        <w:t>经所在区县科技局进行真实性审核，符合条件的由区县科技局在线推荐提交至市科技局。</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    3．复核。企业申报材料经市科技局委托的第三方机构复核后，符合条件的纳入重庆市科技型企业培育</w:t>
      </w:r>
      <w:proofErr w:type="gramStart"/>
      <w:r w:rsidRPr="00A759D0">
        <w:rPr>
          <w:rFonts w:ascii="宋体" w:eastAsia="宋体" w:hAnsi="宋体" w:cs="宋体" w:hint="eastAsia"/>
          <w:color w:val="333333"/>
          <w:spacing w:val="8"/>
          <w:kern w:val="0"/>
          <w:szCs w:val="21"/>
        </w:rPr>
        <w:t>库统一</w:t>
      </w:r>
      <w:proofErr w:type="gramEnd"/>
      <w:r w:rsidRPr="00A759D0">
        <w:rPr>
          <w:rFonts w:ascii="宋体" w:eastAsia="宋体" w:hAnsi="宋体" w:cs="宋体" w:hint="eastAsia"/>
          <w:color w:val="333333"/>
          <w:spacing w:val="8"/>
          <w:kern w:val="0"/>
          <w:szCs w:val="21"/>
        </w:rPr>
        <w:t>管理。</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    4．更新。入库科技型企业应当于每年第一季度在管理系统更新统计信息，由区县科技局进行审核，第三方机构进行复核。符合条件的，方可继续享受有关科技创新扶持政策。</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  </w:t>
      </w:r>
      <w:r w:rsidRPr="00A759D0">
        <w:rPr>
          <w:rFonts w:ascii="Calibri" w:eastAsia="Microsoft YaHei UI" w:hAnsi="Calibri" w:cs="Calibri"/>
          <w:color w:val="333333"/>
          <w:spacing w:val="8"/>
          <w:kern w:val="0"/>
          <w:szCs w:val="21"/>
        </w:rPr>
        <w:t> </w:t>
      </w:r>
      <w:r w:rsidRPr="00A759D0">
        <w:rPr>
          <w:rFonts w:ascii="宋体" w:eastAsia="宋体" w:hAnsi="宋体" w:cs="宋体" w:hint="eastAsia"/>
          <w:color w:val="333333"/>
          <w:spacing w:val="8"/>
          <w:kern w:val="0"/>
          <w:szCs w:val="21"/>
        </w:rPr>
        <w:t> 第八条  每年一季度，管理系统将自动筛选出符合本细则第六条规定的高成长性科技企业备选名单，在市科技局网站面向社会公示。公示无异议的，确认为重庆市高成长性科技企业，面向社会公布。</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第九条  完成入库的科技型企业，管理系统将根据知识价值信用评价模型自动生成知识价值信用等级并确定相应的授信额度。</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入库科技型企业可按要求享受科技创新</w:t>
      </w:r>
      <w:proofErr w:type="gramStart"/>
      <w:r w:rsidRPr="00A759D0">
        <w:rPr>
          <w:rFonts w:ascii="宋体" w:eastAsia="宋体" w:hAnsi="宋体" w:cs="宋体" w:hint="eastAsia"/>
          <w:color w:val="333333"/>
          <w:spacing w:val="8"/>
          <w:kern w:val="0"/>
          <w:szCs w:val="21"/>
        </w:rPr>
        <w:t>券</w:t>
      </w:r>
      <w:proofErr w:type="gramEnd"/>
      <w:r w:rsidRPr="00A759D0">
        <w:rPr>
          <w:rFonts w:ascii="宋体" w:eastAsia="宋体" w:hAnsi="宋体" w:cs="宋体" w:hint="eastAsia"/>
          <w:color w:val="333333"/>
          <w:spacing w:val="8"/>
          <w:kern w:val="0"/>
          <w:szCs w:val="21"/>
        </w:rPr>
        <w:t>、科技金融服务，以及“重庆市科技资源共享平台”提供的购买研究开发、委托检验检测、文献下载等各类科技服务，还可申报各级政府支持企业创新发展的各类项目。</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    第十条  市科技局定期对科技型企业培育工作进行评价，评价结果作为支持区县科技创新工作的重要参考。建立信息通报机制，定期向各区县通报科技型企业</w:t>
      </w:r>
      <w:r w:rsidRPr="00A759D0">
        <w:rPr>
          <w:rFonts w:ascii="宋体" w:eastAsia="宋体" w:hAnsi="宋体" w:cs="宋体" w:hint="eastAsia"/>
          <w:color w:val="333333"/>
          <w:spacing w:val="8"/>
          <w:kern w:val="0"/>
          <w:szCs w:val="21"/>
        </w:rPr>
        <w:lastRenderedPageBreak/>
        <w:t>培育情况。建立核查监督机制，定期向各区县通报科技型企业核查情况，加强对科技型企业申报入库工作的监督检查。</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第十一条  入库科技型企业应当按要求每年及时更新统计信息，连续两年未及时更新统计信息的，将不再享受重庆科技资源共享平台提供的科技服务；入库科技型企业存在违法违规或严重违背诚信要求行为的，市科技局将根据实际情况取消其入库资格，三年内不再受理该企业申报入库，并按规定实施信用记录和联合惩戒。</w:t>
      </w:r>
    </w:p>
    <w:p w:rsidR="00A759D0" w:rsidRPr="00A759D0" w:rsidRDefault="00A759D0" w:rsidP="00A759D0">
      <w:pPr>
        <w:widowControl/>
        <w:shd w:val="clear" w:color="auto" w:fill="FFFFFF"/>
        <w:rPr>
          <w:rFonts w:ascii="Microsoft YaHei UI" w:eastAsia="Microsoft YaHei UI" w:hAnsi="Microsoft YaHei UI" w:cs="宋体" w:hint="eastAsia"/>
          <w:color w:val="333333"/>
          <w:spacing w:val="8"/>
          <w:kern w:val="0"/>
          <w:sz w:val="26"/>
          <w:szCs w:val="26"/>
        </w:rPr>
      </w:pPr>
      <w:r w:rsidRPr="00A759D0">
        <w:rPr>
          <w:rFonts w:ascii="宋体" w:eastAsia="宋体" w:hAnsi="宋体" w:cs="宋体" w:hint="eastAsia"/>
          <w:color w:val="333333"/>
          <w:spacing w:val="8"/>
          <w:kern w:val="0"/>
          <w:szCs w:val="21"/>
        </w:rPr>
        <w:t>第十二条  本细则自发布之日起实施。原《重庆市科技型企业标准和管理实施细则》（渝科委发〔2017〕</w:t>
      </w:r>
      <w:r w:rsidRPr="00A759D0">
        <w:rPr>
          <w:rFonts w:ascii="Calibri" w:eastAsia="宋体" w:hAnsi="Calibri" w:cs="Calibri"/>
          <w:color w:val="333333"/>
          <w:spacing w:val="8"/>
          <w:kern w:val="0"/>
          <w:szCs w:val="21"/>
        </w:rPr>
        <w:t>36</w:t>
      </w:r>
      <w:r w:rsidRPr="00A759D0">
        <w:rPr>
          <w:rFonts w:ascii="宋体" w:eastAsia="宋体" w:hAnsi="宋体" w:cs="宋体" w:hint="eastAsia"/>
          <w:color w:val="333333"/>
          <w:spacing w:val="8"/>
          <w:kern w:val="0"/>
          <w:szCs w:val="21"/>
        </w:rPr>
        <w:t>号）同时废止。 </w:t>
      </w:r>
    </w:p>
    <w:p w:rsidR="00050783" w:rsidRDefault="00050783"/>
    <w:sectPr w:rsidR="000507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FD8"/>
    <w:rsid w:val="00050783"/>
    <w:rsid w:val="001672F8"/>
    <w:rsid w:val="00311C0B"/>
    <w:rsid w:val="00A759D0"/>
    <w:rsid w:val="00AA2FD8"/>
    <w:rsid w:val="00C93115"/>
    <w:rsid w:val="00F20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BC205-D5D6-4BD9-A0B1-229308BB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A759D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A759D0"/>
    <w:rPr>
      <w:rFonts w:ascii="宋体" w:eastAsia="宋体" w:hAnsi="宋体" w:cs="宋体"/>
      <w:b/>
      <w:bCs/>
      <w:kern w:val="0"/>
      <w:sz w:val="36"/>
      <w:szCs w:val="36"/>
    </w:rPr>
  </w:style>
  <w:style w:type="character" w:customStyle="1" w:styleId="richmediameta">
    <w:name w:val="rich_media_meta"/>
    <w:basedOn w:val="a0"/>
    <w:rsid w:val="00A759D0"/>
  </w:style>
  <w:style w:type="character" w:styleId="a3">
    <w:name w:val="Hyperlink"/>
    <w:basedOn w:val="a0"/>
    <w:uiPriority w:val="99"/>
    <w:semiHidden/>
    <w:unhideWhenUsed/>
    <w:rsid w:val="00A759D0"/>
    <w:rPr>
      <w:color w:val="0000FF"/>
      <w:u w:val="single"/>
    </w:rPr>
  </w:style>
  <w:style w:type="character" w:customStyle="1" w:styleId="apple-converted-space">
    <w:name w:val="apple-converted-space"/>
    <w:basedOn w:val="a0"/>
    <w:rsid w:val="00A759D0"/>
  </w:style>
  <w:style w:type="character" w:styleId="a4">
    <w:name w:val="Emphasis"/>
    <w:basedOn w:val="a0"/>
    <w:uiPriority w:val="20"/>
    <w:qFormat/>
    <w:rsid w:val="00A759D0"/>
    <w:rPr>
      <w:i/>
      <w:iCs/>
    </w:rPr>
  </w:style>
  <w:style w:type="paragraph" w:styleId="a5">
    <w:name w:val="Normal (Web)"/>
    <w:basedOn w:val="a"/>
    <w:uiPriority w:val="99"/>
    <w:semiHidden/>
    <w:unhideWhenUsed/>
    <w:rsid w:val="00A759D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759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4320042">
      <w:bodyDiv w:val="1"/>
      <w:marLeft w:val="0"/>
      <w:marRight w:val="0"/>
      <w:marTop w:val="0"/>
      <w:marBottom w:val="0"/>
      <w:divBdr>
        <w:top w:val="none" w:sz="0" w:space="0" w:color="auto"/>
        <w:left w:val="none" w:sz="0" w:space="0" w:color="auto"/>
        <w:bottom w:val="none" w:sz="0" w:space="0" w:color="auto"/>
        <w:right w:val="none" w:sz="0" w:space="0" w:color="auto"/>
      </w:divBdr>
      <w:divsChild>
        <w:div w:id="659505829">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397</Words>
  <Characters>2267</Characters>
  <Application>Microsoft Office Word</Application>
  <DocSecurity>0</DocSecurity>
  <Lines>18</Lines>
  <Paragraphs>5</Paragraphs>
  <ScaleCrop>false</ScaleCrop>
  <Company>微软中国</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7</cp:revision>
  <dcterms:created xsi:type="dcterms:W3CDTF">2018-11-13T08:15:00Z</dcterms:created>
  <dcterms:modified xsi:type="dcterms:W3CDTF">2018-11-13T08:17:00Z</dcterms:modified>
</cp:coreProperties>
</file>