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9C" w:rsidRPr="00B2029C" w:rsidRDefault="00B2029C" w:rsidP="00B2029C">
      <w:pPr>
        <w:widowControl/>
        <w:spacing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5ABA"/>
          <w:kern w:val="36"/>
          <w:sz w:val="30"/>
          <w:szCs w:val="30"/>
        </w:rPr>
      </w:pPr>
      <w:r w:rsidRPr="00B2029C">
        <w:rPr>
          <w:rFonts w:ascii="微软雅黑" w:eastAsia="微软雅黑" w:hAnsi="微软雅黑" w:cs="宋体" w:hint="eastAsia"/>
          <w:b/>
          <w:bCs/>
          <w:color w:val="005ABA"/>
          <w:kern w:val="36"/>
          <w:sz w:val="30"/>
          <w:szCs w:val="30"/>
        </w:rPr>
        <w:t>佛山市高明区人民政府办公室关于修订《佛山市高明区促进小微企业上规模扶持办法》的通知</w:t>
      </w:r>
    </w:p>
    <w:p w:rsidR="00B2029C" w:rsidRPr="00B2029C" w:rsidRDefault="00B2029C" w:rsidP="00B2029C">
      <w:pPr>
        <w:widowControl/>
        <w:spacing w:line="840" w:lineRule="atLeast"/>
        <w:jc w:val="center"/>
        <w:rPr>
          <w:rFonts w:ascii="微软雅黑" w:eastAsia="微软雅黑" w:hAnsi="微软雅黑" w:cs="宋体" w:hint="eastAsia"/>
          <w:color w:val="484747"/>
          <w:kern w:val="0"/>
          <w:szCs w:val="21"/>
        </w:rPr>
      </w:pPr>
      <w:r w:rsidRPr="00B2029C">
        <w:rPr>
          <w:rFonts w:ascii="微软雅黑" w:eastAsia="微软雅黑" w:hAnsi="微软雅黑" w:cs="宋体" w:hint="eastAsia"/>
          <w:color w:val="484747"/>
          <w:kern w:val="0"/>
          <w:szCs w:val="21"/>
        </w:rPr>
        <w:t>来源：佛山市高明区人民政府办公室 时间：2018-05-09 10:58 分享：</w:t>
      </w:r>
    </w:p>
    <w:p w:rsidR="00B2029C" w:rsidRPr="00B2029C" w:rsidRDefault="00B2029C" w:rsidP="00B2029C">
      <w:pPr>
        <w:widowControl/>
        <w:wordWrap w:val="0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主动公开</w:t>
      </w:r>
    </w:p>
    <w:p w:rsidR="00B2029C" w:rsidRPr="00B2029C" w:rsidRDefault="00B2029C" w:rsidP="00B2029C">
      <w:pPr>
        <w:widowControl/>
        <w:wordWrap w:val="0"/>
        <w:jc w:val="righ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/>
          <w:noProof/>
          <w:color w:val="484747"/>
          <w:kern w:val="0"/>
          <w:sz w:val="32"/>
          <w:szCs w:val="32"/>
        </w:rPr>
        <w:drawing>
          <wp:inline distT="0" distB="0" distL="0" distR="0">
            <wp:extent cx="8255" cy="8255"/>
            <wp:effectExtent l="0" t="0" r="0" b="0"/>
            <wp:docPr id="1" name="图片 1" descr="http://www.gaoming.gov.cn/zwgk/fggw/bjghxwj/qfbgfxwj/201805/W0201805164007885058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oming.gov.cn/zwgk/fggw/bjghxwj/qfbgfxwj/201805/W02018051640078850589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                                                                                      </w:t>
      </w: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GMFG2018006</w:t>
      </w:r>
    </w:p>
    <w:p w:rsidR="00B2029C" w:rsidRPr="00B2029C" w:rsidRDefault="00B2029C" w:rsidP="00B2029C">
      <w:pPr>
        <w:widowControl/>
        <w:wordWrap w:val="0"/>
        <w:spacing w:line="600" w:lineRule="atLeast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600" w:lineRule="atLeast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600" w:lineRule="atLeast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600" w:lineRule="atLeast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明府办〔2018〕40号</w:t>
      </w:r>
    </w:p>
    <w:p w:rsidR="00B2029C" w:rsidRPr="00B2029C" w:rsidRDefault="00B2029C" w:rsidP="00B2029C">
      <w:pPr>
        <w:widowControl/>
        <w:wordWrap w:val="0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                                                          </w:t>
      </w:r>
    </w:p>
    <w:p w:rsidR="00B2029C" w:rsidRPr="00B2029C" w:rsidRDefault="00B2029C" w:rsidP="00B2029C">
      <w:pPr>
        <w:widowControl/>
        <w:wordWrap w:val="0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bookmarkStart w:id="0" w:name="OLE_LINK1"/>
      <w:r w:rsidRPr="00B2029C">
        <w:rPr>
          <w:rFonts w:ascii="方正小标宋简体" w:eastAsia="方正小标宋简体" w:hAnsi="宋体" w:cs="宋体" w:hint="eastAsia"/>
          <w:color w:val="000000"/>
          <w:spacing w:val="-11"/>
          <w:kern w:val="0"/>
          <w:sz w:val="44"/>
          <w:szCs w:val="44"/>
        </w:rPr>
        <w:t>佛山市高明区人民政府办公室关于修订《佛山市高明区促进小微企业上规模扶持办法》的通知</w:t>
      </w:r>
      <w:bookmarkEnd w:id="0"/>
    </w:p>
    <w:p w:rsidR="00B2029C" w:rsidRPr="00B2029C" w:rsidRDefault="00B2029C" w:rsidP="00B2029C">
      <w:pPr>
        <w:widowControl/>
        <w:wordWrap w:val="0"/>
        <w:spacing w:line="500" w:lineRule="atLeast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left"/>
        <w:textAlignment w:val="baseline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spacing w:val="-6"/>
          <w:kern w:val="0"/>
          <w:sz w:val="32"/>
          <w:szCs w:val="32"/>
        </w:rPr>
        <w:lastRenderedPageBreak/>
        <w:t>各镇政府、街道办，西江新城管委会，区政府各部门、直属各单位：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重新修订后的《佛山市高明区促进小微企业上规模扶持办法》经区政府同意，现印发给你们，请认真遵照执行。执行中遇到的问题，请径向区经济科技促进局（经贸招商）反映。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righ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 xml:space="preserve"> 佛山市高明区人民政府办公室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br/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2018年5月9日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lastRenderedPageBreak/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lef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                         </w:t>
      </w:r>
    </w:p>
    <w:p w:rsidR="00B2029C" w:rsidRPr="00B2029C" w:rsidRDefault="00B2029C" w:rsidP="00B2029C">
      <w:pPr>
        <w:widowControl/>
        <w:wordWrap w:val="0"/>
        <w:spacing w:line="520" w:lineRule="atLeast"/>
        <w:jc w:val="center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方正小标宋简体" w:eastAsia="方正小标宋简体" w:hAnsi="宋体" w:cs="宋体" w:hint="eastAsia"/>
          <w:color w:val="484747"/>
          <w:kern w:val="0"/>
          <w:sz w:val="44"/>
          <w:szCs w:val="44"/>
        </w:rPr>
        <w:t>佛山市高明区促进小微企业上规模扶持办法</w:t>
      </w:r>
    </w:p>
    <w:p w:rsidR="00B2029C" w:rsidRPr="00B2029C" w:rsidRDefault="00B2029C" w:rsidP="00B2029C">
      <w:pPr>
        <w:widowControl/>
        <w:wordWrap w:val="0"/>
        <w:spacing w:line="480" w:lineRule="atLeast"/>
        <w:ind w:firstLine="420"/>
        <w:jc w:val="left"/>
        <w:rPr>
          <w:rFonts w:ascii="宋体" w:eastAsia="宋体" w:hAnsi="宋体" w:cs="宋体" w:hint="eastAsia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center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第一章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总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则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第一条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为鼓励、引导和支持小微企业做精、做强、做优、做大，有效提升我区整体经济质量和水平，根据《佛山市人民政府办公室关于印发佛山市“四上”企业培育三年行动计划（2017—2019年）的通知》（佛府办函〔2017〕414号）、《佛山市高明区人民政府办公室关于印发佛山市高明区“四上”企业培育工作方案的通知》（明府办函〔2017〕162号）等有关文件精神，结合我区实际，制定本办法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第二条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区政府每年安排小微企业上规模专项扶持资金，对经认定符合本办法规定条件的企业进行资金扶持。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center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第二章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扶持范围和标准</w:t>
      </w:r>
    </w:p>
    <w:p w:rsidR="00B2029C" w:rsidRPr="00B2029C" w:rsidRDefault="00B2029C" w:rsidP="00B2029C">
      <w:pPr>
        <w:widowControl/>
        <w:wordWrap w:val="0"/>
        <w:spacing w:line="560" w:lineRule="atLeast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第三条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扶持范围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6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lastRenderedPageBreak/>
        <w:t>对2017年至2019年期间，首次纳入“四上”企业库的小微型工业、商业批发业和商业零售业企业，给予一次性资金扶持和事后资金扶持；对2017年至2019年期间，首次纳入“四上”企业库的住宿餐饮业企业、服务业企业、建筑业企业和房地产开发经营企业给予一次性资金扶持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“四上”企业是指：年主营业务收入达到2000万元以上（以上含本数，下同）的工业法人企业；年商品销售额达到2000万元以上的批发业法人企业；年商品销售额达到500万元以上的零售业法人企业；年主营业务收入达到200万元以上的住宿和餐饮业法人企业；年末从业人数50人以上，或年营业收入1000万元以上的服务业法人单位（居民服务、修理和其他服务业，文化、体育和娱乐业年营业收入达到500万以上即可）；具有总承包、专业承包、劳务分包资质（拥有城乡建设部门颁发的《建筑业企业资质证书》）的建筑业法人企业和全部房地产开发经营法人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第四条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扶持标准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（一）对首次纳入“四上”企业库的小微型企业给予一次性资金扶持。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1.对首次纳入“四上”企业库的小微型工业企业，给予一次性扶持资金10万元。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lastRenderedPageBreak/>
        <w:t>2.对首次纳入“四上”企业库的小微型商业批发业企业，给予一次性扶持资金6万元。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3.对首次纳入“四上”企业库的小微型商业零售业企业，给予一次性扶持资金4万元。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4.对首次纳入“四上”企业库的住宿餐饮业企业、服务业企业、建筑业企业和房地产开发经营企业，给予一次性扶持资金3万元。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（二）对首次纳入“四上”企业库的小微型工业、商业批发业、商业零售业企业给予事后资金扶持。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从2018年起，区财政通过预算安排，在小微型工业、商业批发业、商业零售业企业首次纳入“四上”企业库下一年起连续2年内，按企业对区级财政贡献增量额度的50%对企业进行事后资金扶持。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企业对区级财政贡献增量额度以企业首次纳入“四上”企业库后相对于基数的增加部分为依据。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以企业首次纳入“四上”企业库当年对区级财政贡献为基数。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事后扶持资金=（企业申请扶持资金当年对区级财政贡献-基数）×50%。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（三）单个企业累计获得扶持资金总额不超过50万。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center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第三章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申报及审批程序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lastRenderedPageBreak/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第五条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申报条件</w:t>
      </w:r>
    </w:p>
    <w:p w:rsidR="00B2029C" w:rsidRPr="00B2029C" w:rsidRDefault="00B2029C" w:rsidP="00B2029C">
      <w:pPr>
        <w:widowControl/>
        <w:wordWrap w:val="0"/>
        <w:spacing w:line="560" w:lineRule="atLeast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（一）</w:t>
      </w:r>
      <w:r w:rsidRPr="00B2029C">
        <w:rPr>
          <w:rFonts w:ascii="仿宋_GB2312" w:eastAsia="仿宋_GB2312" w:hAnsi="宋体" w:cs="宋体" w:hint="eastAsia"/>
          <w:color w:val="484747"/>
          <w:spacing w:val="6"/>
          <w:kern w:val="0"/>
          <w:sz w:val="32"/>
          <w:szCs w:val="32"/>
        </w:rPr>
        <w:t>在高明区行政区域内依法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办理工商、税务登记，具有独立法人资格，并依法经营和纳税，有健全的管理及财务制度，近3年来没有因违法经营受到刑事处罚或者责令停产停业、吊销许可证或者执照、较大数额（10万元以上）罚款等行政处罚的重大违法记录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（二）2017年至2019年经营期间达到如下标准：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1.年主营业务收入在2000万元以上的工业企业。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2.年商品销售额在2000万元以上的批发业企业。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3.年商品销售额在500万元以上的零售业企业。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4.年主营业务收入达到200万元以上的住宿和餐饮业企业。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5.年末从业人数50人以上，或年营业收入1000万元以上的服务业企业（居民服务、修理和其他服务业，文化、体育和娱乐业年营业收入达到500万以上即可）。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6.具有总承包、专业承包、劳务分包资质（拥有城乡建设部门颁发的《建筑业企业资质证书》）的建筑业企业和全部房地产开发经营企业。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（三）企业申请扶持资金当年在“四上”企业库，必须按统计制度规定上报统计报表，并经统计部门审核确认。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第六条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申报材料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lastRenderedPageBreak/>
        <w:t>企业申请扶持资金需要提交相关材料（提交复印件的，一并提供原件供查验），并加盖企业公章。材料包括但不限于以下内容（具体申报指引由区经贸招商部门另行制订）。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（一）《佛山市高明区小微企业上规模一次性扶持资金申请表》（见附件1）。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（二）《佛山市高明区小微企业上规模事后扶持资金申请表》（见附件2）。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（三）《佛山市高明区小微企业上规模扶持资金申请承诺书》（见附件3）。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（四）营业执照和税务登记证复印件(如已换发统一社会信用代码营业执照的则提供此证复印件)。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（五）企业申请扶持资金当年的年度会计报表。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（六）企业首次纳入“四上”企业库当年及申请事后扶持资金当年的年度纳税证明。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（七）申请扶持资金当年企业实地清晰照片（照片应多角度、多层次反映企业场地面貌、生产经营、产品类别等情况，不少于5张）。</w:t>
      </w:r>
    </w:p>
    <w:p w:rsidR="00B2029C" w:rsidRPr="00B2029C" w:rsidRDefault="00B2029C" w:rsidP="00B2029C">
      <w:pPr>
        <w:widowControl/>
        <w:wordWrap w:val="0"/>
        <w:spacing w:line="560" w:lineRule="atLeas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（八）需要提供的其他证明材料。</w:t>
      </w:r>
    </w:p>
    <w:p w:rsidR="00B2029C" w:rsidRPr="00B2029C" w:rsidRDefault="00B2029C" w:rsidP="00B2029C">
      <w:pPr>
        <w:widowControl/>
        <w:wordWrap w:val="0"/>
        <w:spacing w:line="560" w:lineRule="atLeast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第七条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申报、审核及审批程序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（一）以自愿申报为原则，符合条件的企业将完整的申报材料（包括纸质版一式三份、电子版）装订成册报送属地镇政府（街道办）经促局。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lastRenderedPageBreak/>
        <w:t>（二）各镇政府（街道办）经促局收到申报材料后，组织现场核查，对材料进行初审，加具初审意见后报送区经济科技促进局（经贸招商）。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三）区经济科技促进局（经贸招商）会同区发展规划统计局（统计）、区财政局、区国税局、区地税局对报送材料复审并核算扶持金额。区发展规划统计局（统计）负责审核企业是否在“四上”企业库；区国税局、区地税局负责审核确认企业对区级财政贡献金额并出具确认文件；区经济科技促进局（经贸招商）会同区财政局制定扶持资金安排方案，报区政府审批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（四）经区政府批准后，由区财政局根据区政府审批意见，将扶持资金直接划拨至企业。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rPr>
          <w:rFonts w:ascii="方正仿宋简体" w:eastAsia="方正仿宋简体" w:hAnsi="宋体" w:cs="宋体" w:hint="eastAsia"/>
          <w:color w:val="484747"/>
          <w:kern w:val="0"/>
          <w:sz w:val="32"/>
          <w:szCs w:val="32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第八条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申报受理时间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扶持资金申请每年集中受理一次，具体受理时间由区经济科技促进局（经贸招商）另行通知。未能在规定时间内提出申请视为自动放弃。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center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第四章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监督与管理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第九条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区经济科技促进局（经贸招商）要按规定公开扶持资金分配结果等信息，接受社会监督。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lastRenderedPageBreak/>
        <w:t>第十条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区经济科技促进局（经贸招商）要会同区财政局做好企业申报资料存档及扶持资金拨付等工作，确保扶持资金安全、及时、准确发放；不定期对获得扶持资金的企业进行检查，对企业弄虚作假骗取扶持资金的，撤销对其财政扶持，追回已拨付的财政资金，并取消该企业在我区申请各类财政扶持资金资格；涉嫌构成犯罪的，依法移交司法机关处理。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第十一条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对行政机关及其工作人员弄虚作假、截留、挪用、挤占扶持资金等行为，按《财政违法行为处罚处分条例》（国务院令第427号）的相关规定进行处理，并 依法追究有关单位及相关人员责任。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center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第五章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附</w:t>
      </w: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则</w:t>
      </w:r>
    </w:p>
    <w:p w:rsidR="00B2029C" w:rsidRPr="00B2029C" w:rsidRDefault="00B2029C" w:rsidP="00B2029C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484747"/>
          <w:kern w:val="0"/>
          <w:sz w:val="24"/>
          <w:szCs w:val="24"/>
        </w:rPr>
      </w:pP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第十二条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本办法自印发之日起实施，有效期至2022年12月31日止;区府办于2017年4月17日印发的《佛山市高明区促进小微企业上规模扶持办法》（明府办〔2017〕68号）同时废止；区政府已颁布的其他文件规定与本办法不符的，以本办法为准。</w:t>
      </w:r>
    </w:p>
    <w:p w:rsidR="00B2029C" w:rsidRPr="00B2029C" w:rsidRDefault="00B2029C" w:rsidP="00B2029C">
      <w:pPr>
        <w:widowControl/>
        <w:wordWrap w:val="0"/>
        <w:jc w:val="left"/>
        <w:rPr>
          <w:rFonts w:ascii="方正仿宋简体" w:eastAsia="方正仿宋简体" w:hAnsi="宋体" w:cs="宋体"/>
          <w:color w:val="484747"/>
          <w:kern w:val="0"/>
          <w:sz w:val="32"/>
          <w:szCs w:val="32"/>
        </w:rPr>
      </w:pPr>
      <w:r w:rsidRPr="00B2029C">
        <w:rPr>
          <w:rFonts w:ascii="Calibri" w:eastAsia="黑体" w:hAnsi="Calibri" w:cs="Calibri"/>
          <w:color w:val="484747"/>
          <w:kern w:val="0"/>
          <w:sz w:val="32"/>
          <w:szCs w:val="32"/>
        </w:rPr>
        <w:t>    </w:t>
      </w:r>
      <w:r w:rsidRPr="00B2029C">
        <w:rPr>
          <w:rFonts w:ascii="黑体" w:eastAsia="黑体" w:hAnsi="黑体" w:cs="宋体" w:hint="eastAsia"/>
          <w:color w:val="484747"/>
          <w:kern w:val="0"/>
          <w:sz w:val="32"/>
          <w:szCs w:val="32"/>
        </w:rPr>
        <w:t>第十三条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  </w:t>
      </w:r>
      <w:r w:rsidRPr="00B2029C">
        <w:rPr>
          <w:rFonts w:ascii="仿宋_GB2312" w:eastAsia="仿宋_GB2312" w:hAnsi="宋体" w:cs="宋体" w:hint="eastAsia"/>
          <w:color w:val="484747"/>
          <w:kern w:val="0"/>
          <w:sz w:val="32"/>
          <w:szCs w:val="32"/>
        </w:rPr>
        <w:t>本办法由区经济科技促进局（经贸招商）负责解释。</w:t>
      </w:r>
    </w:p>
    <w:p w:rsidR="009317BA" w:rsidRDefault="009317BA">
      <w:bookmarkStart w:id="1" w:name="_GoBack"/>
      <w:bookmarkEnd w:id="1"/>
    </w:p>
    <w:sectPr w:rsidR="0093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A2"/>
    <w:rsid w:val="00686AA2"/>
    <w:rsid w:val="009317BA"/>
    <w:rsid w:val="00B2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AC55-93BE-4AF8-8C31-B6C6AC36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02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029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newnewnewnewnewnewnew">
    <w:name w:val="newnewnewnewnewnewnew"/>
    <w:basedOn w:val="a"/>
    <w:rsid w:val="00B20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new">
    <w:name w:val="newnewnew"/>
    <w:basedOn w:val="a"/>
    <w:rsid w:val="00B20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newnewnewnewnewnew">
    <w:name w:val="newnewnewnewnewnewnewnew"/>
    <w:basedOn w:val="a"/>
    <w:rsid w:val="00B20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newnewnewnew">
    <w:name w:val="newnewnewnewnewnew"/>
    <w:basedOn w:val="a"/>
    <w:rsid w:val="00B20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0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741">
          <w:marLeft w:val="0"/>
          <w:marRight w:val="0"/>
          <w:marTop w:val="0"/>
          <w:marBottom w:val="0"/>
          <w:divBdr>
            <w:top w:val="dotted" w:sz="6" w:space="0" w:color="CCCCCC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375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557</Words>
  <Characters>3175</Characters>
  <Application>Microsoft Office Word</Application>
  <DocSecurity>0</DocSecurity>
  <Lines>26</Lines>
  <Paragraphs>7</Paragraphs>
  <ScaleCrop>false</ScaleCrop>
  <Company>微软中国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2018-08-21T06:20:00Z</dcterms:created>
  <dcterms:modified xsi:type="dcterms:W3CDTF">2018-08-21T06:20:00Z</dcterms:modified>
</cp:coreProperties>
</file>