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0584" w:type="dxa"/>
        <w:jc w:val="center"/>
        <w:tblCellSpacing w:w="0" w:type="dxa"/>
        <w:tblInd w:w="-1139" w:type="dxa"/>
        <w:shd w:val="clear" w:color="auto" w:fill="FFFFFF"/>
        <w:tblLayout w:type="fixed"/>
        <w:tblCellMar>
          <w:top w:w="0" w:type="dxa"/>
          <w:left w:w="0" w:type="dxa"/>
          <w:bottom w:w="0" w:type="dxa"/>
          <w:right w:w="0" w:type="dxa"/>
        </w:tblCellMar>
      </w:tblPr>
      <w:tblGrid>
        <w:gridCol w:w="10584"/>
      </w:tblGrid>
      <w:tr>
        <w:tblPrEx>
          <w:shd w:val="clear" w:color="auto" w:fill="FFFFFF"/>
          <w:tblLayout w:type="fixed"/>
          <w:tblCellMar>
            <w:top w:w="0" w:type="dxa"/>
            <w:left w:w="0" w:type="dxa"/>
            <w:bottom w:w="0" w:type="dxa"/>
            <w:right w:w="0" w:type="dxa"/>
          </w:tblCellMar>
        </w:tblPrEx>
        <w:trPr>
          <w:trHeight w:val="750"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line="390" w:lineRule="atLeast"/>
              <w:ind w:left="0" w:right="0" w:firstLine="0"/>
              <w:jc w:val="center"/>
              <w:rPr>
                <w:rFonts w:ascii="微软雅黑" w:hAnsi="微软雅黑" w:eastAsia="微软雅黑" w:cs="微软雅黑"/>
                <w:b/>
                <w:i w:val="0"/>
                <w:caps w:val="0"/>
                <w:color w:val="D20000"/>
                <w:spacing w:val="0"/>
                <w:sz w:val="26"/>
                <w:szCs w:val="26"/>
              </w:rPr>
            </w:pPr>
            <w:bookmarkStart w:id="1" w:name="_GoBack"/>
            <w:r>
              <w:rPr>
                <w:rFonts w:hint="eastAsia" w:ascii="微软雅黑" w:hAnsi="微软雅黑" w:eastAsia="微软雅黑" w:cs="微软雅黑"/>
                <w:b/>
                <w:i w:val="0"/>
                <w:caps w:val="0"/>
                <w:color w:val="D20000"/>
                <w:spacing w:val="0"/>
                <w:kern w:val="0"/>
                <w:sz w:val="26"/>
                <w:szCs w:val="26"/>
                <w:bdr w:val="none" w:color="auto" w:sz="0" w:space="0"/>
                <w:lang w:val="en-US" w:eastAsia="zh-CN" w:bidi="ar"/>
              </w:rPr>
              <w:t>江苏省技术先进型服务企业认定管理办法（试行）</w:t>
            </w:r>
            <w:bookmarkEnd w:id="1"/>
          </w:p>
        </w:tc>
      </w:tr>
      <w:tr>
        <w:tblPrEx>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center"/>
          </w:tcPr>
          <w:tbl>
            <w:tblPr>
              <w:tblW w:w="10497" w:type="dxa"/>
              <w:jc w:val="center"/>
              <w:tblCellSpacing w:w="0" w:type="dxa"/>
              <w:tblInd w:w="44" w:type="dxa"/>
              <w:shd w:val="clear" w:color="auto" w:fill="E4F0F3"/>
              <w:tblLayout w:type="fixed"/>
              <w:tblCellMar>
                <w:top w:w="0" w:type="dxa"/>
                <w:left w:w="0" w:type="dxa"/>
                <w:bottom w:w="0" w:type="dxa"/>
                <w:right w:w="0" w:type="dxa"/>
              </w:tblCellMar>
            </w:tblPr>
            <w:tblGrid>
              <w:gridCol w:w="1280"/>
              <w:gridCol w:w="952"/>
              <w:gridCol w:w="1352"/>
              <w:gridCol w:w="734"/>
              <w:gridCol w:w="2921"/>
              <w:gridCol w:w="1982"/>
              <w:gridCol w:w="1276"/>
            </w:tblGrid>
            <w:tr>
              <w:tblPrEx>
                <w:shd w:val="clear" w:color="auto" w:fill="E4F0F3"/>
                <w:tblLayout w:type="fixed"/>
              </w:tblPrEx>
              <w:trPr>
                <w:tblCellSpacing w:w="0" w:type="dxa"/>
                <w:jc w:val="center"/>
              </w:trPr>
              <w:tc>
                <w:tcPr>
                  <w:tcW w:w="1280"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 </w:t>
                  </w:r>
                </w:p>
              </w:tc>
              <w:tc>
                <w:tcPr>
                  <w:tcW w:w="952" w:type="dxa"/>
                  <w:shd w:val="clear" w:color="auto" w:fill="E4F0F3"/>
                  <w:vAlign w:val="center"/>
                </w:tcPr>
                <w:p>
                  <w:pPr>
                    <w:keepNext w:val="0"/>
                    <w:keepLines w:val="0"/>
                    <w:widowControl/>
                    <w:suppressLineNumbers w:val="0"/>
                    <w:spacing w:before="0" w:beforeAutospacing="0" w:after="0" w:afterAutospacing="0"/>
                    <w:ind w:left="0" w:right="0"/>
                    <w:jc w:val="right"/>
                    <w:rPr>
                      <w:sz w:val="18"/>
                      <w:szCs w:val="18"/>
                    </w:rPr>
                  </w:pPr>
                  <w:r>
                    <w:rPr>
                      <w:rFonts w:ascii="宋体" w:hAnsi="宋体" w:eastAsia="宋体" w:cs="宋体"/>
                      <w:kern w:val="0"/>
                      <w:sz w:val="18"/>
                      <w:szCs w:val="18"/>
                      <w:bdr w:val="none" w:color="auto" w:sz="0" w:space="0"/>
                      <w:lang w:val="en-US" w:eastAsia="zh-CN" w:bidi="ar"/>
                    </w:rPr>
                    <w:t>字体大小：</w:t>
                  </w:r>
                </w:p>
              </w:tc>
              <w:tc>
                <w:tcPr>
                  <w:tcW w:w="1352" w:type="dxa"/>
                  <w:shd w:val="clear" w:color="auto" w:fill="E4F0F3"/>
                  <w:vAlign w:val="center"/>
                </w:tcPr>
                <w:p>
                  <w:pPr>
                    <w:keepNext w:val="0"/>
                    <w:keepLines w:val="0"/>
                    <w:widowControl/>
                    <w:suppressLineNumbers w:val="0"/>
                    <w:spacing w:before="0" w:beforeAutospacing="0" w:after="0" w:afterAutospacing="0"/>
                    <w:ind w:left="0" w:right="0"/>
                    <w:jc w:val="center"/>
                    <w:rPr>
                      <w:sz w:val="18"/>
                      <w:szCs w:val="18"/>
                    </w:rPr>
                  </w:pP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8" name="图片 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6" descr="IMG_256"/>
                                <pic:cNvPicPr>
                                  <a:picLocks noChangeAspect="1"/>
                                </pic:cNvPicPr>
                              </pic:nvPicPr>
                              <pic:blipFill>
                                <a:blip r:embed="rId4"/>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6" name="图片 17"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7" descr="IMG_257"/>
                                <pic:cNvPicPr>
                                  <a:picLocks noChangeAspect="1"/>
                                </pic:cNvPicPr>
                              </pic:nvPicPr>
                              <pic:blipFill>
                                <a:blip r:embed="rId5"/>
                                <a:stretch>
                                  <a:fillRect/>
                                </a:stretch>
                              </pic:blipFill>
                              <pic:spPr>
                                <a:xfrm>
                                  <a:off x="0" y="0"/>
                                  <a:ext cx="133350" cy="133350"/>
                                </a:xfrm>
                                <a:prstGeom prst="rect">
                                  <a:avLst/>
                                </a:prstGeom>
                                <a:noFill/>
                                <a:ln w="9525">
                                  <a:noFill/>
                                </a:ln>
                              </pic:spPr>
                            </pic:pic>
                          </a:graphicData>
                        </a:graphic>
                      </wp:inline>
                    </w:drawing>
                  </w:r>
                  <w:r>
                    <w:rPr>
                      <w:rFonts w:ascii="宋体" w:hAnsi="宋体" w:eastAsia="宋体" w:cs="宋体"/>
                      <w:kern w:val="0"/>
                      <w:sz w:val="18"/>
                      <w:szCs w:val="18"/>
                      <w:bdr w:val="none" w:color="auto" w:sz="0" w:space="0"/>
                      <w:lang w:val="en-US" w:eastAsia="zh-CN" w:bidi="ar"/>
                    </w:rPr>
                    <w:t>  </w:t>
                  </w:r>
                  <w:r>
                    <w:rPr>
                      <w:rFonts w:ascii="宋体" w:hAnsi="宋体" w:eastAsia="宋体" w:cs="宋体"/>
                      <w:kern w:val="0"/>
                      <w:sz w:val="18"/>
                      <w:szCs w:val="18"/>
                      <w:bdr w:val="none" w:color="auto" w:sz="0" w:space="0"/>
                      <w:lang w:val="en-US" w:eastAsia="zh-CN" w:bidi="ar"/>
                    </w:rPr>
                    <w:drawing>
                      <wp:inline distT="0" distB="0" distL="114300" distR="114300">
                        <wp:extent cx="133350" cy="133350"/>
                        <wp:effectExtent l="0" t="0" r="0" b="0"/>
                        <wp:docPr id="17" name="图片 18"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8" descr="IMG_258"/>
                                <pic:cNvPicPr>
                                  <a:picLocks noChangeAspect="1"/>
                                </pic:cNvPicPr>
                              </pic:nvPicPr>
                              <pic:blipFill>
                                <a:blip r:embed="rId6"/>
                                <a:stretch>
                                  <a:fillRect/>
                                </a:stretch>
                              </pic:blipFill>
                              <pic:spPr>
                                <a:xfrm>
                                  <a:off x="0" y="0"/>
                                  <a:ext cx="133350" cy="133350"/>
                                </a:xfrm>
                                <a:prstGeom prst="rect">
                                  <a:avLst/>
                                </a:prstGeom>
                                <a:noFill/>
                                <a:ln w="9525">
                                  <a:noFill/>
                                </a:ln>
                              </pic:spPr>
                            </pic:pic>
                          </a:graphicData>
                        </a:graphic>
                      </wp:inline>
                    </w:drawing>
                  </w:r>
                </w:p>
              </w:tc>
              <w:tc>
                <w:tcPr>
                  <w:tcW w:w="734"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c>
                <w:tcPr>
                  <w:tcW w:w="2921"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color w:val="666666"/>
                      <w:kern w:val="0"/>
                      <w:sz w:val="18"/>
                      <w:szCs w:val="18"/>
                      <w:bdr w:val="none" w:color="auto" w:sz="0" w:space="0"/>
                      <w:lang w:val="en-US" w:eastAsia="zh-CN" w:bidi="ar"/>
                    </w:rPr>
                    <w:t>保护视力色：</w:t>
                  </w:r>
                </w:p>
              </w:tc>
              <w:tc>
                <w:tcPr>
                  <w:tcW w:w="1982"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[本页支持鼠标双击滚屏]</w:t>
                  </w:r>
                </w:p>
              </w:tc>
              <w:tc>
                <w:tcPr>
                  <w:tcW w:w="1276" w:type="dxa"/>
                  <w:shd w:val="clear" w:color="auto" w:fill="E4F0F3"/>
                  <w:vAlign w:val="center"/>
                </w:tcPr>
                <w:p>
                  <w:pPr>
                    <w:keepNext w:val="0"/>
                    <w:keepLines w:val="0"/>
                    <w:widowControl/>
                    <w:suppressLineNumbers w:val="0"/>
                    <w:spacing w:before="0" w:beforeAutospacing="0" w:after="0" w:afterAutospacing="0"/>
                    <w:ind w:left="0" w:right="0"/>
                    <w:jc w:val="left"/>
                    <w:rPr>
                      <w:sz w:val="18"/>
                      <w:szCs w:val="18"/>
                    </w:rPr>
                  </w:pPr>
                  <w:r>
                    <w:rPr>
                      <w:rFonts w:ascii="宋体" w:hAnsi="宋体" w:eastAsia="宋体" w:cs="宋体"/>
                      <w:kern w:val="0"/>
                      <w:sz w:val="18"/>
                      <w:szCs w:val="18"/>
                      <w:bdr w:val="none" w:color="auto" w:sz="0" w:space="0"/>
                      <w:lang w:val="en-US" w:eastAsia="zh-CN" w:bidi="ar"/>
                    </w:rPr>
                    <w:t> </w:t>
                  </w:r>
                </w:p>
              </w:tc>
            </w:tr>
          </w:tbl>
          <w:p>
            <w:pPr>
              <w:jc w:val="center"/>
              <w:rPr>
                <w:rFonts w:hint="eastAsia" w:ascii="微软雅黑" w:hAnsi="微软雅黑" w:eastAsia="微软雅黑" w:cs="微软雅黑"/>
                <w:i w:val="0"/>
                <w:caps w:val="0"/>
                <w:color w:val="333333"/>
                <w:spacing w:val="0"/>
                <w:sz w:val="18"/>
                <w:szCs w:val="18"/>
              </w:rPr>
            </w:pPr>
          </w:p>
        </w:tc>
      </w:tr>
      <w:tr>
        <w:tblPrEx>
          <w:tblLayout w:type="fixed"/>
          <w:tblCellMar>
            <w:top w:w="0" w:type="dxa"/>
            <w:left w:w="0" w:type="dxa"/>
            <w:bottom w:w="0" w:type="dxa"/>
            <w:right w:w="0" w:type="dxa"/>
          </w:tblCellMar>
        </w:tblPrEx>
        <w:trPr>
          <w:trHeight w:val="301" w:hRule="atLeast"/>
          <w:tblCellSpacing w:w="0" w:type="dxa"/>
          <w:jc w:val="center"/>
        </w:trPr>
        <w:tc>
          <w:tcPr>
            <w:tcW w:w="10584" w:type="dxa"/>
            <w:shd w:val="clear" w:color="auto" w:fill="FFFFFF"/>
            <w:tcMar>
              <w:bottom w:w="0" w:type="dxa"/>
            </w:tcMar>
            <w:vAlign w:val="center"/>
          </w:tcPr>
          <w:p>
            <w:pPr>
              <w:keepNext w:val="0"/>
              <w:keepLines w:val="0"/>
              <w:widowControl/>
              <w:suppressLineNumbers w:val="0"/>
              <w:spacing w:before="0" w:beforeAutospacing="0" w:after="0" w:afterAutospacing="0"/>
              <w:ind w:left="0" w:right="0" w:firstLine="0"/>
              <w:jc w:val="center"/>
              <w:rPr>
                <w:rFonts w:hint="eastAsia" w:ascii="微软雅黑" w:hAnsi="微软雅黑" w:eastAsia="微软雅黑" w:cs="微软雅黑"/>
                <w:i w:val="0"/>
                <w:caps w:val="0"/>
                <w:color w:val="333333"/>
                <w:spacing w:val="0"/>
                <w:sz w:val="18"/>
                <w:szCs w:val="18"/>
              </w:rPr>
            </w:pPr>
            <w:r>
              <w:rPr>
                <w:rFonts w:hint="eastAsia" w:ascii="微软雅黑" w:hAnsi="微软雅黑" w:eastAsia="微软雅黑" w:cs="微软雅黑"/>
                <w:i w:val="0"/>
                <w:caps w:val="0"/>
                <w:color w:val="333333"/>
                <w:spacing w:val="0"/>
                <w:kern w:val="0"/>
                <w:sz w:val="18"/>
                <w:szCs w:val="18"/>
                <w:bdr w:val="none" w:color="auto" w:sz="0" w:space="0"/>
                <w:lang w:val="en-US" w:eastAsia="zh-CN" w:bidi="ar"/>
              </w:rPr>
              <w:t> </w:t>
            </w:r>
          </w:p>
        </w:tc>
      </w:tr>
      <w:tr>
        <w:tblPrEx>
          <w:shd w:val="clear" w:color="auto" w:fill="FFFFFF"/>
          <w:tblLayout w:type="fixed"/>
          <w:tblCellMar>
            <w:top w:w="0" w:type="dxa"/>
            <w:left w:w="0" w:type="dxa"/>
            <w:bottom w:w="0" w:type="dxa"/>
            <w:right w:w="0" w:type="dxa"/>
          </w:tblCellMar>
        </w:tblPrEx>
        <w:trPr>
          <w:tblCellSpacing w:w="0" w:type="dxa"/>
          <w:jc w:val="center"/>
        </w:trPr>
        <w:tc>
          <w:tcPr>
            <w:tcW w:w="10584" w:type="dxa"/>
            <w:shd w:val="clear" w:color="auto" w:fill="FFFFFF"/>
            <w:tcMar>
              <w:bottom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方正楷体_GBK" w:hAnsi="方正楷体_GBK" w:eastAsia="方正楷体_GBK" w:cs="方正楷体_GBK"/>
                <w:i w:val="0"/>
                <w:caps w:val="0"/>
                <w:color w:val="333333"/>
                <w:spacing w:val="0"/>
                <w:kern w:val="0"/>
                <w:sz w:val="21"/>
                <w:szCs w:val="21"/>
                <w:bdr w:val="none" w:color="auto" w:sz="0" w:space="0"/>
                <w:lang w:val="en-US" w:eastAsia="zh-CN" w:bidi="ar"/>
              </w:rPr>
              <w:t>（征求意见稿）</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方正楷体_GBK" w:hAnsi="方正楷体_GBK" w:eastAsia="方正楷体_GBK" w:cs="方正楷体_GBK"/>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方正黑体_GBK" w:hAnsi="方正黑体_GBK" w:eastAsia="方正黑体_GBK" w:cs="方正黑体_GBK"/>
                <w:i w:val="0"/>
                <w:caps w:val="0"/>
                <w:color w:val="333333"/>
                <w:spacing w:val="0"/>
                <w:kern w:val="0"/>
                <w:sz w:val="21"/>
                <w:szCs w:val="21"/>
                <w:bdr w:val="none" w:color="auto" w:sz="0" w:space="0"/>
                <w:lang w:val="en-US" w:eastAsia="zh-CN" w:bidi="ar"/>
              </w:rPr>
              <w:t>第一章</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总则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第一条</w:t>
            </w:r>
            <w:r>
              <w:rPr>
                <w:rFonts w:ascii="方正仿宋_GBK" w:hAnsi="方正仿宋_GBK" w:eastAsia="方正仿宋_GBK" w:cs="方正仿宋_GBK"/>
                <w:i w:val="0"/>
                <w:caps w:val="0"/>
                <w:color w:val="333333"/>
                <w:spacing w:val="0"/>
                <w:kern w:val="0"/>
                <w:sz w:val="21"/>
                <w:szCs w:val="21"/>
                <w:bdr w:val="none" w:color="auto" w:sz="0" w:space="0"/>
                <w:lang w:val="en-US" w:eastAsia="zh-CN" w:bidi="ar"/>
              </w:rPr>
              <w:t>为引导外资更多投向高技术、高附加值服务业，促进我省企业技术创新和技术服务能力的提升，增强我省服务业的综合竞争力，根据财政部、国家税务总局、商务部、科技部、国家发展改革委《关于将技术先进型服务企业所得税政策推广至全国实施的通知》（财税</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[2017]79号）的有关规定，制定本办法。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第二条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申请技术先进型服务企业认定的我省行政辖区内企业，适用本办法。</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第三条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技术先进型服务企业认定管理工作坚持服务引领、放管结合、公开透明的原则。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第四条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省科技厅会同省商务厅、财政厅、国税局、地税局、发展改革委负责我省行政辖区内技术先进型服务企业的认定管理工作。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第五条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依据本办法认定的技术先进型服务企业</w:t>
            </w:r>
            <w:r>
              <w:rPr>
                <w:rFonts w:ascii="仿宋_GB2312" w:hAnsi="微软雅黑" w:eastAsia="仿宋_GB2312" w:cs="仿宋_GB2312"/>
                <w:i w:val="0"/>
                <w:caps w:val="0"/>
                <w:color w:val="333333"/>
                <w:spacing w:val="0"/>
                <w:kern w:val="0"/>
                <w:sz w:val="21"/>
                <w:szCs w:val="21"/>
                <w:bdr w:val="none" w:color="auto" w:sz="0" w:space="0"/>
                <w:lang w:val="en-US" w:eastAsia="zh-CN" w:bidi="ar"/>
              </w:rPr>
              <w:t>，可按照</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财政部、国家税务总局、商务部、科技部、国家发</w:t>
            </w:r>
            <w:bookmarkStart w:id="0" w:name="_GoBack"/>
            <w:bookmarkEnd w:id="0"/>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展改革委《关于将技术先进型服务企业所得税政策推广至全国实施的通知》（财税[2017]79号）的有关规定，持相关认定文件向所在地主管税务机关办理享受企业所得税优惠政策事宜。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黑体" w:hAnsi="宋体" w:eastAsia="黑体" w:cs="黑体"/>
                <w:i w:val="0"/>
                <w:caps w:val="0"/>
                <w:color w:val="333333"/>
                <w:spacing w:val="0"/>
                <w:kern w:val="0"/>
                <w:sz w:val="21"/>
                <w:szCs w:val="21"/>
                <w:bdr w:val="none" w:color="auto" w:sz="0" w:space="0"/>
                <w:lang w:val="en-US" w:eastAsia="zh-CN" w:bidi="ar"/>
              </w:rPr>
              <w:t>第二章</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认定条件与程序</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第六条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认定为技术先进型服务企业须同时满足以下条件：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（一）在江苏省境内注册的法人企业；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（二）从事《技术先进型服务业务认定范围（试行）》（详见附件）中的一种或多种技术先进型服务业务，采用先进技术或具备较强的研发能力；</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（三）具有大专以上学历的员工占企业职工总数的50%以上；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（四）从事《技术先进型服务业务认定范围（试行）》中的技术先进型服务业务取得的收入占企业当年总收入的50%以上；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（五）从事离岸服务外包业务取得的收入不低于企业当年总收入的35%。</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从事离岸服务外包业务取得的收入，是指企业根据境外单位与其签订的委托合同，由本企业或其直接转包的企业为境外单位提供《技术先进型服务业务认定范围（试行）》中所规定的信息技术外包服务（ITO）、技术性业务流程外包服务（BPO）和技术性知识流程外包服务（KPO），而从上述境外单位取得的收入。</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第七条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技术先进型服务企业认定采取常年申报、集中受理、定期评审的方式，每年由省科技厅发布申报通知，明确具体的申报材料要求及受理截止时间。</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第八条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符合本办法第七条规定条件的企业，应按要求登录“全国技术先进型服务企业业务办理管理平台”进行注册登记，在线填报《全国技术先进型服务企业认定（复核）申请表》（以下简称“申请表”）及上传相关佐证材料，同时，将纸质《申请表》（加盖企业公章）及相关佐证材料报送至所在设区市科技部门。设区市科技部门会同商务、财政、国税、地税和发展改革部门进行审核，对符合条件的企业，由设区市科技部门汇总上报省科技厅。</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第九条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  省科技厅会同省商务厅、省财政厅、省国税局、省地税局、省发展改革委对提交的申报材料进行专家评审，对符合认定条件的企业向社会公示；公示无异议的，联合发文认定，并将认定企业名单及有关情况通过科技部“全国技术先进型服务企业业务办理管理平台”备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经认定的技术先进型服务企业，须在商务部</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服务贸易统计监测管理信息系统（服务外包信息管理应用）</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中填报企业基本信息，按时报送数据。同时，企业每年需登录“全国技术先进型服务企业业务办理管理平台”如实填报《技术先进型服务企业年度信息表》。</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第三章</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监督管理与服务</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第十一条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 各设区市科技部门会同同级商务、财政、税务和发展改革部门对经认定并享受税收优惠政策的技术先进型服务企业应做好日常管理服务，对变更经营范围、合并、分立、转业、迁移的企业，如不再符合认定条件，应及时提请省科技厅会同省商务厅、省财政厅、省国税局、省地税局和省发展改革取消其享受税收优惠政策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第十二条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享受企业所得税优惠的技术先进型服务企业条件发生变化的，应当自发生变化之日起15个工作日内向主管税务机关报告；不再符合享受税收优惠条件的，应当依法履行纳税义务。主管税务机关在执行税收优惠政策过程中，发现企业不具备技术先进型服务企业资格的，应提请省科技厅会同省商务厅、省财政厅、省国税局、省地税局和省发展改革委复核。复核后确认不符合认定条件的，应取消企业享受税收优惠政策的资格。</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第十三条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各设区市科技和商务、财政、国税、地税、发展改革部门在技术先进型服务企业认定工作中，对内外资企业应一视同仁、平等对待，切实做好沟通与协作工作。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第十四条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各设区市科技和商务、财政、国税、地税、发展改革部门及其工作人员在认定技术先进型服务企业工作中，存在违法违纪行为的，按照《公务员法》《行政监察法》等国家有关规定追究相应责任；涉嫌犯罪的，移送司法机关处理。</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第五章</w:t>
            </w: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附则</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第十五条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本办法由省科技厅会同省商务厅、省财政厅、省国税局、省地税局、省发展改革委负责解释。</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第十六条</w:t>
            </w: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 本办法自2017年1月1日起实施。</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64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附件：技术先进型服务业务认定范围（试行）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微软雅黑" w:hAnsi="微软雅黑" w:eastAsia="微软雅黑" w:cs="微软雅黑"/>
                <w:i w:val="0"/>
                <w:caps w:val="0"/>
                <w:color w:val="333333"/>
                <w:spacing w:val="0"/>
                <w:sz w:val="18"/>
                <w:szCs w:val="18"/>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附件：</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ascii="方正小标宋_GBK" w:hAnsi="方正小标宋_GBK" w:eastAsia="方正小标宋_GBK" w:cs="方正小标宋_GBK"/>
                <w:i w:val="0"/>
                <w:caps w:val="0"/>
                <w:color w:val="333333"/>
                <w:spacing w:val="0"/>
                <w:kern w:val="0"/>
                <w:sz w:val="21"/>
                <w:szCs w:val="21"/>
                <w:bdr w:val="none" w:color="auto" w:sz="0" w:space="0"/>
                <w:lang w:val="en-US" w:eastAsia="zh-CN" w:bidi="ar"/>
              </w:rPr>
              <w:t>技术先进型服务业务认定范围（试行）</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eastAsia" w:ascii="微软雅黑" w:hAnsi="微软雅黑" w:eastAsia="微软雅黑" w:cs="微软雅黑"/>
                <w:i w:val="0"/>
                <w:caps w:val="0"/>
                <w:color w:val="333333"/>
                <w:spacing w:val="0"/>
                <w:kern w:val="0"/>
                <w:sz w:val="21"/>
                <w:szCs w:val="21"/>
                <w:bdr w:val="none" w:color="auto" w:sz="0" w:space="0"/>
                <w:lang w:val="en-US" w:eastAsia="zh-CN" w:bidi="ar"/>
              </w:rPr>
              <w:t>　</w:t>
            </w:r>
            <w:r>
              <w:rPr>
                <w:rFonts w:hint="eastAsia" w:ascii="微软雅黑" w:hAnsi="微软雅黑" w:eastAsia="微软雅黑" w:cs="微软雅黑"/>
                <w:b/>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方正黑体_GBK" w:hAnsi="方正黑体_GBK" w:eastAsia="方正黑体_GBK" w:cs="方正黑体_GBK"/>
                <w:i w:val="0"/>
                <w:caps w:val="0"/>
                <w:color w:val="333333"/>
                <w:spacing w:val="0"/>
                <w:kern w:val="0"/>
                <w:sz w:val="21"/>
                <w:szCs w:val="21"/>
                <w:bdr w:val="none" w:color="auto" w:sz="0" w:space="0"/>
                <w:lang w:val="en-US" w:eastAsia="zh-CN" w:bidi="ar"/>
              </w:rPr>
              <w:t>一、信息技术外包服务（ITO）</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方正仿宋_GBK" w:hAnsi="方正仿宋_GBK" w:eastAsia="方正仿宋_GBK" w:cs="方正仿宋_GBK"/>
                <w:i w:val="0"/>
                <w:caps w:val="0"/>
                <w:color w:val="333333"/>
                <w:spacing w:val="0"/>
                <w:kern w:val="0"/>
                <w:sz w:val="21"/>
                <w:szCs w:val="21"/>
                <w:bdr w:val="none" w:color="auto" w:sz="0" w:space="0"/>
                <w:lang w:val="en-US" w:eastAsia="zh-CN" w:bidi="ar"/>
              </w:rPr>
              <w:t>（一）软件研发及外包</w:t>
            </w:r>
          </w:p>
          <w:tbl>
            <w:tblPr>
              <w:tblW w:w="10050" w:type="dxa"/>
              <w:tblInd w:w="-10" w:type="dxa"/>
              <w:shd w:val="clear"/>
              <w:tblLayout w:type="fixed"/>
              <w:tblCellMar>
                <w:top w:w="0" w:type="dxa"/>
                <w:left w:w="0" w:type="dxa"/>
                <w:bottom w:w="0" w:type="dxa"/>
                <w:right w:w="0" w:type="dxa"/>
              </w:tblCellMar>
            </w:tblPr>
            <w:tblGrid>
              <w:gridCol w:w="5025"/>
              <w:gridCol w:w="5025"/>
            </w:tblGrid>
            <w:tr>
              <w:tblPrEx>
                <w:shd w:val="clear"/>
                <w:tblLayout w:type="fixed"/>
                <w:tblCellMar>
                  <w:top w:w="0" w:type="dxa"/>
                  <w:left w:w="0" w:type="dxa"/>
                  <w:bottom w:w="0" w:type="dxa"/>
                  <w:right w:w="0" w:type="dxa"/>
                </w:tblCellMar>
              </w:tblPrEx>
              <w:trPr>
                <w:trHeight w:val="559" w:hRule="atLeast"/>
              </w:trPr>
              <w:tc>
                <w:tcPr>
                  <w:tcW w:w="502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类　别</w:t>
                  </w:r>
                </w:p>
              </w:tc>
              <w:tc>
                <w:tcPr>
                  <w:tcW w:w="5025" w:type="dxa"/>
                  <w:tcBorders>
                    <w:top w:val="inset" w:color="000000" w:sz="8" w:space="0"/>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适用范围</w:t>
                  </w:r>
                </w:p>
              </w:tc>
            </w:tr>
            <w:tr>
              <w:tblPrEx>
                <w:tblLayout w:type="fixed"/>
                <w:tblCellMar>
                  <w:top w:w="0" w:type="dxa"/>
                  <w:left w:w="0" w:type="dxa"/>
                  <w:bottom w:w="0" w:type="dxa"/>
                  <w:right w:w="0" w:type="dxa"/>
                </w:tblCellMar>
              </w:tblPrEx>
              <w:trPr>
                <w:trHeight w:val="2417" w:hRule="atLeast"/>
              </w:trPr>
              <w:tc>
                <w:tcPr>
                  <w:tcW w:w="5025"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软件研发及开发服务</w:t>
                  </w:r>
                </w:p>
              </w:tc>
              <w:tc>
                <w:tcPr>
                  <w:tcW w:w="5025"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用于金融、政府、教育、制造业、零售、服务、能源、物流、交通、媒体、电信、公共事业和医疗卫生等部门和企业，为用户的运营／生产／供应链／客户关系／人力资源和财务管理、计算机辅助设计／工程等业务进行软件开发，包括定制软件开发，嵌入式软件、套装软件开发，系统软件开发、软件测试等。</w:t>
                  </w:r>
                </w:p>
              </w:tc>
            </w:tr>
            <w:tr>
              <w:tblPrEx>
                <w:tblLayout w:type="fixed"/>
                <w:tblCellMar>
                  <w:top w:w="0" w:type="dxa"/>
                  <w:left w:w="0" w:type="dxa"/>
                  <w:bottom w:w="0" w:type="dxa"/>
                  <w:right w:w="0" w:type="dxa"/>
                </w:tblCellMar>
              </w:tblPrEx>
              <w:trPr>
                <w:trHeight w:val="559" w:hRule="atLeast"/>
              </w:trPr>
              <w:tc>
                <w:tcPr>
                  <w:tcW w:w="5025"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软件技术服务</w:t>
                  </w:r>
                </w:p>
              </w:tc>
              <w:tc>
                <w:tcPr>
                  <w:tcW w:w="5025"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软件咨询、维护、培训、测试等技术性服务。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（二）信息技术研发服务外包</w:t>
            </w:r>
          </w:p>
          <w:tbl>
            <w:tblPr>
              <w:tblW w:w="10050" w:type="dxa"/>
              <w:tblInd w:w="-10" w:type="dxa"/>
              <w:shd w:val="clear"/>
              <w:tblLayout w:type="fixed"/>
              <w:tblCellMar>
                <w:top w:w="0" w:type="dxa"/>
                <w:left w:w="0" w:type="dxa"/>
                <w:bottom w:w="0" w:type="dxa"/>
                <w:right w:w="0" w:type="dxa"/>
              </w:tblCellMar>
            </w:tblPr>
            <w:tblGrid>
              <w:gridCol w:w="5025"/>
              <w:gridCol w:w="5025"/>
            </w:tblGrid>
            <w:tr>
              <w:tblPrEx>
                <w:shd w:val="clear"/>
                <w:tblLayout w:type="fixed"/>
                <w:tblCellMar>
                  <w:top w:w="0" w:type="dxa"/>
                  <w:left w:w="0" w:type="dxa"/>
                  <w:bottom w:w="0" w:type="dxa"/>
                  <w:right w:w="0" w:type="dxa"/>
                </w:tblCellMar>
              </w:tblPrEx>
              <w:trPr>
                <w:trHeight w:val="694" w:hRule="atLeast"/>
              </w:trPr>
              <w:tc>
                <w:tcPr>
                  <w:tcW w:w="502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类　别</w:t>
                  </w:r>
                </w:p>
              </w:tc>
              <w:tc>
                <w:tcPr>
                  <w:tcW w:w="5025" w:type="dxa"/>
                  <w:tcBorders>
                    <w:top w:val="inset" w:color="000000" w:sz="8" w:space="0"/>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适用范围</w:t>
                  </w:r>
                </w:p>
              </w:tc>
            </w:tr>
            <w:tr>
              <w:tblPrEx>
                <w:shd w:val="clear"/>
                <w:tblLayout w:type="fixed"/>
                <w:tblCellMar>
                  <w:top w:w="0" w:type="dxa"/>
                  <w:left w:w="0" w:type="dxa"/>
                  <w:bottom w:w="0" w:type="dxa"/>
                  <w:right w:w="0" w:type="dxa"/>
                </w:tblCellMar>
              </w:tblPrEx>
              <w:trPr>
                <w:trHeight w:val="1388" w:hRule="atLeast"/>
              </w:trPr>
              <w:tc>
                <w:tcPr>
                  <w:tcW w:w="5025"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集成电路和电子电路设计</w:t>
                  </w:r>
                </w:p>
              </w:tc>
              <w:tc>
                <w:tcPr>
                  <w:tcW w:w="5025"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集成电路和电子电路产品设计以及相关技术支持服务等。</w:t>
                  </w:r>
                </w:p>
              </w:tc>
            </w:tr>
            <w:tr>
              <w:tblPrEx>
                <w:shd w:val="clear"/>
                <w:tblLayout w:type="fixed"/>
                <w:tblCellMar>
                  <w:top w:w="0" w:type="dxa"/>
                  <w:left w:w="0" w:type="dxa"/>
                  <w:bottom w:w="0" w:type="dxa"/>
                  <w:right w:w="0" w:type="dxa"/>
                </w:tblCellMar>
              </w:tblPrEx>
              <w:trPr>
                <w:trHeight w:val="694" w:hRule="atLeast"/>
              </w:trPr>
              <w:tc>
                <w:tcPr>
                  <w:tcW w:w="5025"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测试平台</w:t>
                  </w:r>
                </w:p>
              </w:tc>
              <w:tc>
                <w:tcPr>
                  <w:tcW w:w="5025"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为软件、集成电路和电子电路的开发运用提供测试平台。</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（三）信息系统运营维护外包</w:t>
            </w:r>
          </w:p>
          <w:tbl>
            <w:tblPr>
              <w:tblW w:w="10050" w:type="dxa"/>
              <w:tblInd w:w="-10" w:type="dxa"/>
              <w:shd w:val="clear"/>
              <w:tblLayout w:type="fixed"/>
              <w:tblCellMar>
                <w:top w:w="0" w:type="dxa"/>
                <w:left w:w="0" w:type="dxa"/>
                <w:bottom w:w="0" w:type="dxa"/>
                <w:right w:w="0" w:type="dxa"/>
              </w:tblCellMar>
            </w:tblPr>
            <w:tblGrid>
              <w:gridCol w:w="5025"/>
              <w:gridCol w:w="5025"/>
            </w:tblGrid>
            <w:tr>
              <w:tblPrEx>
                <w:shd w:val="clear"/>
                <w:tblLayout w:type="fixed"/>
                <w:tblCellMar>
                  <w:top w:w="0" w:type="dxa"/>
                  <w:left w:w="0" w:type="dxa"/>
                  <w:bottom w:w="0" w:type="dxa"/>
                  <w:right w:w="0" w:type="dxa"/>
                </w:tblCellMar>
              </w:tblPrEx>
              <w:trPr>
                <w:trHeight w:val="661" w:hRule="atLeast"/>
              </w:trPr>
              <w:tc>
                <w:tcPr>
                  <w:tcW w:w="5025"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类　别</w:t>
                  </w:r>
                </w:p>
              </w:tc>
              <w:tc>
                <w:tcPr>
                  <w:tcW w:w="5025" w:type="dxa"/>
                  <w:tcBorders>
                    <w:top w:val="inset" w:color="000000" w:sz="8" w:space="0"/>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适用范围</w:t>
                  </w:r>
                </w:p>
              </w:tc>
            </w:tr>
            <w:tr>
              <w:tblPrEx>
                <w:shd w:val="clear"/>
                <w:tblLayout w:type="fixed"/>
                <w:tblCellMar>
                  <w:top w:w="0" w:type="dxa"/>
                  <w:left w:w="0" w:type="dxa"/>
                  <w:bottom w:w="0" w:type="dxa"/>
                  <w:right w:w="0" w:type="dxa"/>
                </w:tblCellMar>
              </w:tblPrEx>
              <w:trPr>
                <w:trHeight w:val="1321" w:hRule="atLeast"/>
              </w:trPr>
              <w:tc>
                <w:tcPr>
                  <w:tcW w:w="5025"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信息系统运营和维护服务</w:t>
                  </w:r>
                </w:p>
              </w:tc>
              <w:tc>
                <w:tcPr>
                  <w:tcW w:w="5025"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客户内部信息系统集成、网络管理、桌面管理与维护服务；信息工程、地理信息系统、远程维护等信息系统应用服务。</w:t>
                  </w:r>
                </w:p>
              </w:tc>
            </w:tr>
            <w:tr>
              <w:tblPrEx>
                <w:tblLayout w:type="fixed"/>
                <w:tblCellMar>
                  <w:top w:w="0" w:type="dxa"/>
                  <w:left w:w="0" w:type="dxa"/>
                  <w:bottom w:w="0" w:type="dxa"/>
                  <w:right w:w="0" w:type="dxa"/>
                </w:tblCellMar>
              </w:tblPrEx>
              <w:trPr>
                <w:trHeight w:val="1321" w:hRule="atLeast"/>
              </w:trPr>
              <w:tc>
                <w:tcPr>
                  <w:tcW w:w="5025"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基础信息技术服务</w:t>
                  </w:r>
                </w:p>
              </w:tc>
              <w:tc>
                <w:tcPr>
                  <w:tcW w:w="5025"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基础信息技术管理平台整合、IT基础设施管理、数据中心、托管中心、安全服务、通讯服务等基础信息技术服务。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二、技术性业务流程外包服务（BPO）</w:t>
            </w:r>
          </w:p>
          <w:tbl>
            <w:tblPr>
              <w:tblW w:w="10049" w:type="dxa"/>
              <w:tblInd w:w="-10" w:type="dxa"/>
              <w:shd w:val="clear"/>
              <w:tblLayout w:type="fixed"/>
              <w:tblCellMar>
                <w:top w:w="0" w:type="dxa"/>
                <w:left w:w="0" w:type="dxa"/>
                <w:bottom w:w="0" w:type="dxa"/>
                <w:right w:w="0" w:type="dxa"/>
              </w:tblCellMar>
            </w:tblPr>
            <w:tblGrid>
              <w:gridCol w:w="3459"/>
              <w:gridCol w:w="6590"/>
            </w:tblGrid>
            <w:tr>
              <w:tblPrEx>
                <w:shd w:val="clear"/>
                <w:tblLayout w:type="fixed"/>
                <w:tblCellMar>
                  <w:top w:w="0" w:type="dxa"/>
                  <w:left w:w="0" w:type="dxa"/>
                  <w:bottom w:w="0" w:type="dxa"/>
                  <w:right w:w="0" w:type="dxa"/>
                </w:tblCellMar>
              </w:tblPrEx>
              <w:trPr>
                <w:trHeight w:val="523" w:hRule="atLeast"/>
              </w:trPr>
              <w:tc>
                <w:tcPr>
                  <w:tcW w:w="3459"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类别</w:t>
                  </w:r>
                </w:p>
              </w:tc>
              <w:tc>
                <w:tcPr>
                  <w:tcW w:w="6590" w:type="dxa"/>
                  <w:tcBorders>
                    <w:top w:val="inset" w:color="000000" w:sz="8" w:space="0"/>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适用范围</w:t>
                  </w:r>
                </w:p>
              </w:tc>
            </w:tr>
            <w:tr>
              <w:tblPrEx>
                <w:shd w:val="clear"/>
                <w:tblLayout w:type="fixed"/>
                <w:tblCellMar>
                  <w:top w:w="0" w:type="dxa"/>
                  <w:left w:w="0" w:type="dxa"/>
                  <w:bottom w:w="0" w:type="dxa"/>
                  <w:right w:w="0" w:type="dxa"/>
                </w:tblCellMar>
              </w:tblPrEx>
              <w:trPr>
                <w:trHeight w:val="523" w:hRule="atLeast"/>
              </w:trPr>
              <w:tc>
                <w:tcPr>
                  <w:tcW w:w="3459"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企业业务流程设计服务</w:t>
                  </w:r>
                </w:p>
              </w:tc>
              <w:tc>
                <w:tcPr>
                  <w:tcW w:w="6590"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为客户企业提供内部管理、业务运作等流程设计服务。</w:t>
                  </w:r>
                </w:p>
              </w:tc>
            </w:tr>
            <w:tr>
              <w:tblPrEx>
                <w:shd w:val="clear"/>
                <w:tblLayout w:type="fixed"/>
              </w:tblPrEx>
              <w:trPr>
                <w:trHeight w:val="2094" w:hRule="atLeast"/>
              </w:trPr>
              <w:tc>
                <w:tcPr>
                  <w:tcW w:w="3459"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企业内部管理服务</w:t>
                  </w:r>
                </w:p>
              </w:tc>
              <w:tc>
                <w:tcPr>
                  <w:tcW w:w="6590"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为客户企业提供后台管理、人力资源管理、财务、审计与税务管理、金融支付服务、医疗数据及其他内部管理业务的数据分析、数据挖掘、数据管理、数据使用的服务；承接客户专业数据处理、分析和整合服务。</w:t>
                  </w:r>
                </w:p>
              </w:tc>
            </w:tr>
            <w:tr>
              <w:tblPrEx>
                <w:shd w:val="clear"/>
                <w:tblLayout w:type="fixed"/>
                <w:tblCellMar>
                  <w:top w:w="0" w:type="dxa"/>
                  <w:left w:w="0" w:type="dxa"/>
                  <w:bottom w:w="0" w:type="dxa"/>
                  <w:right w:w="0" w:type="dxa"/>
                </w:tblCellMar>
              </w:tblPrEx>
              <w:trPr>
                <w:trHeight w:val="2617" w:hRule="atLeast"/>
              </w:trPr>
              <w:tc>
                <w:tcPr>
                  <w:tcW w:w="3459"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企业运营服务</w:t>
                  </w:r>
                </w:p>
              </w:tc>
              <w:tc>
                <w:tcPr>
                  <w:tcW w:w="6590"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为客户企业提供技术研发服务、为企业经营、销售、产品售后服务提供的应用客户分析、数据库管理等服务。主要包括金融服务业务、政务与教育业务、制造业务和生命科学、零售和批发与运输业务、卫生保健业务、通讯与公共事业业务、呼叫中心、电子商务平台等。</w:t>
                  </w:r>
                </w:p>
              </w:tc>
            </w:tr>
            <w:tr>
              <w:tblPrEx>
                <w:shd w:val="clear"/>
                <w:tblLayout w:type="fixed"/>
                <w:tblCellMar>
                  <w:top w:w="0" w:type="dxa"/>
                  <w:left w:w="0" w:type="dxa"/>
                  <w:bottom w:w="0" w:type="dxa"/>
                  <w:right w:w="0" w:type="dxa"/>
                </w:tblCellMar>
              </w:tblPrEx>
              <w:trPr>
                <w:trHeight w:val="523" w:hRule="atLeast"/>
              </w:trPr>
              <w:tc>
                <w:tcPr>
                  <w:tcW w:w="3459"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企业供应链管理服务</w:t>
                  </w:r>
                </w:p>
              </w:tc>
              <w:tc>
                <w:tcPr>
                  <w:tcW w:w="6590" w:type="dxa"/>
                  <w:tcBorders>
                    <w:top w:val="nil"/>
                    <w:left w:val="nil"/>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为客户企业提供采购、物流的整体方案设计及数据库服务。</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hAnsi="微软雅黑" w:eastAsia="仿宋_GB2312" w:cs="仿宋_GB2312"/>
                <w:i w:val="0"/>
                <w:caps w:val="0"/>
                <w:color w:val="333333"/>
                <w:spacing w:val="0"/>
                <w:kern w:val="0"/>
                <w:sz w:val="21"/>
                <w:szCs w:val="21"/>
                <w:bdr w:val="none" w:color="auto" w:sz="0" w:space="0"/>
                <w:lang w:val="en-US" w:eastAsia="zh-CN" w:bidi="ar"/>
              </w:rPr>
              <w:t>三、技术性知识流程外包服务（KPO）</w:t>
            </w:r>
          </w:p>
          <w:tbl>
            <w:tblPr>
              <w:tblW w:w="10050" w:type="dxa"/>
              <w:tblInd w:w="-10" w:type="dxa"/>
              <w:shd w:val="clear"/>
              <w:tblLayout w:type="fixed"/>
              <w:tblCellMar>
                <w:top w:w="0" w:type="dxa"/>
                <w:left w:w="0" w:type="dxa"/>
                <w:bottom w:w="0" w:type="dxa"/>
                <w:right w:w="0" w:type="dxa"/>
              </w:tblCellMar>
            </w:tblPr>
            <w:tblGrid>
              <w:gridCol w:w="10050"/>
            </w:tblGrid>
            <w:tr>
              <w:tblPrEx>
                <w:shd w:val="clear"/>
                <w:tblLayout w:type="fixed"/>
                <w:tblCellMar>
                  <w:top w:w="0" w:type="dxa"/>
                  <w:left w:w="0" w:type="dxa"/>
                  <w:bottom w:w="0" w:type="dxa"/>
                  <w:right w:w="0" w:type="dxa"/>
                </w:tblCellMar>
              </w:tblPrEx>
              <w:trPr>
                <w:trHeight w:val="1152" w:hRule="atLeast"/>
              </w:trPr>
              <w:tc>
                <w:tcPr>
                  <w:tcW w:w="10050" w:type="dxa"/>
                  <w:tcBorders>
                    <w:top w:val="inset" w:color="000000" w:sz="8" w:space="0"/>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　　适用范围</w:t>
                  </w:r>
                </w:p>
              </w:tc>
            </w:tr>
            <w:tr>
              <w:tblPrEx>
                <w:tblLayout w:type="fixed"/>
                <w:tblCellMar>
                  <w:top w:w="0" w:type="dxa"/>
                  <w:left w:w="0" w:type="dxa"/>
                  <w:bottom w:w="0" w:type="dxa"/>
                  <w:right w:w="0" w:type="dxa"/>
                </w:tblCellMar>
              </w:tblPrEx>
              <w:trPr>
                <w:trHeight w:val="2304" w:hRule="atLeast"/>
              </w:trPr>
              <w:tc>
                <w:tcPr>
                  <w:tcW w:w="10050" w:type="dxa"/>
                  <w:tcBorders>
                    <w:top w:val="nil"/>
                    <w:left w:val="inset" w:color="000000" w:sz="8" w:space="0"/>
                    <w:bottom w:val="inset" w:color="000000" w:sz="8" w:space="0"/>
                    <w:right w:val="inset" w:color="000000"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rPr>
                      <w:sz w:val="21"/>
                      <w:szCs w:val="21"/>
                    </w:rPr>
                  </w:pPr>
                  <w:r>
                    <w:rPr>
                      <w:rFonts w:hint="default" w:ascii="仿宋_GB2312" w:eastAsia="仿宋_GB2312" w:cs="仿宋_GB2312" w:hAnsiTheme="minorHAnsi"/>
                      <w:color w:val="333333"/>
                      <w:kern w:val="0"/>
                      <w:sz w:val="21"/>
                      <w:szCs w:val="21"/>
                      <w:bdr w:val="none" w:color="auto" w:sz="0" w:space="0"/>
                      <w:lang w:val="en-US" w:eastAsia="zh-CN" w:bidi="ar"/>
                    </w:rPr>
                    <w:t>　　知识产权研究、医药和生物技术研发和测试、产品技术研发、工业设计、分析学和数据挖掘、动漫及网游设计研发、教育课件研发、工程设计等领域。</w:t>
                  </w:r>
                </w:p>
              </w:tc>
            </w:tr>
          </w:tbl>
          <w:p>
            <w:pPr>
              <w:jc w:val="left"/>
              <w:rPr>
                <w:rFonts w:hint="eastAsia" w:ascii="微软雅黑" w:hAnsi="微软雅黑" w:eastAsia="微软雅黑" w:cs="微软雅黑"/>
                <w:i w:val="0"/>
                <w:caps w:val="0"/>
                <w:color w:val="333333"/>
                <w:spacing w:val="0"/>
                <w:sz w:val="18"/>
                <w:szCs w:val="1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2" w:usb2="00000016" w:usb3="00000000" w:csb0="0004001F"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楷体_GBK">
    <w:altName w:val="Arial Unicode MS"/>
    <w:panose1 w:val="00000000000000000000"/>
    <w:charset w:val="00"/>
    <w:family w:val="auto"/>
    <w:pitch w:val="default"/>
    <w:sig w:usb0="00000000" w:usb1="00000000" w:usb2="00000000" w:usb3="00000000" w:csb0="00000000" w:csb1="00000000"/>
  </w:font>
  <w:font w:name="方正黑体_GBK">
    <w:altName w:val="Arial Unicode MS"/>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EFF" w:usb1="C000605B" w:usb2="00000029" w:usb3="00000000" w:csb0="200101FF" w:csb1="2028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C84D4A"/>
    <w:rsid w:val="00327C03"/>
    <w:rsid w:val="1AB34672"/>
    <w:rsid w:val="1FAF28EE"/>
    <w:rsid w:val="546C40E6"/>
    <w:rsid w:val="61C84D4A"/>
    <w:rsid w:val="6B506498"/>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14</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2018-06-06T04:57:00Z</dcterms:created>
  <dc:creator>栾晓琴</dc:creator>
  <cp:lastModifiedBy>栾晓琴</cp:lastModifiedBy>
  <dcterms:modified xsi:type="dcterms:W3CDTF">2018-06-06T05:42:15Z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